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709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Кемерово</w:t>
      </w: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экономического развития</w:t>
      </w: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627FE" wp14:editId="36793C60">
            <wp:extent cx="6038850" cy="4733925"/>
            <wp:effectExtent l="0" t="0" r="0" b="9525"/>
            <wp:docPr id="1" name="Рисунок 1" descr="2009_09_16__08_52_28__1_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9_09_16__08_52_28__1_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BF" w:rsidRPr="0038709F" w:rsidRDefault="00A745BF" w:rsidP="00A745BF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социально-экономического развития</w:t>
      </w: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Кемерово за 201</w:t>
      </w:r>
      <w:r w:rsidR="002C2C74"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F05" w:rsidRPr="0038709F" w:rsidRDefault="00F47F05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5BF" w:rsidRPr="0038709F" w:rsidRDefault="00A745BF" w:rsidP="00A745B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0783" wp14:editId="0943283A">
                <wp:simplePos x="0" y="0"/>
                <wp:positionH relativeFrom="column">
                  <wp:posOffset>1709420</wp:posOffset>
                </wp:positionH>
                <wp:positionV relativeFrom="paragraph">
                  <wp:posOffset>252095</wp:posOffset>
                </wp:positionV>
                <wp:extent cx="2400300" cy="523875"/>
                <wp:effectExtent l="0" t="0" r="19050" b="28575"/>
                <wp:wrapNone/>
                <wp:docPr id="12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E7" w:rsidRPr="001050DF" w:rsidRDefault="000E15E7" w:rsidP="00A745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50D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г. КЕМЕРОВО</w:t>
                            </w:r>
                          </w:p>
                          <w:p w:rsidR="000E15E7" w:rsidRPr="001050DF" w:rsidRDefault="000E15E7" w:rsidP="00A745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50D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E0783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left:0;text-align:left;margin-left:134.6pt;margin-top:19.85pt;width:18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" strokecolor="white">
                <v:textbox>
                  <w:txbxContent>
                    <w:p w:rsidR="000E15E7" w:rsidRPr="001050DF" w:rsidRDefault="000E15E7" w:rsidP="00A745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050DF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г. КЕМЕРОВО</w:t>
                      </w:r>
                    </w:p>
                    <w:p w:rsidR="000E15E7" w:rsidRPr="001050DF" w:rsidRDefault="000E15E7" w:rsidP="00A745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050DF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</w:p>
    <w:p w:rsidR="00A745BF" w:rsidRPr="0038709F" w:rsidRDefault="00F47F05" w:rsidP="00F47F05">
      <w:pPr>
        <w:keepNext/>
        <w:keepLines/>
        <w:widowControl w:val="0"/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745BF"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45BF" w:rsidRPr="0038709F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36B" w:rsidRPr="006312AA" w:rsidRDefault="0039236B" w:rsidP="0039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312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p w:rsidR="0039236B" w:rsidRPr="0038709F" w:rsidRDefault="0039236B" w:rsidP="0039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7113AD" w:rsidRPr="006312AA" w:rsidRDefault="00A745BF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fldChar w:fldCharType="begin"/>
      </w:r>
      <w:r w:rsidRPr="0038709F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instrText xml:space="preserve"> TOC \o "1-3" \h \z \u </w:instrText>
      </w:r>
      <w:r w:rsidRPr="0038709F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fldChar w:fldCharType="separate"/>
      </w:r>
      <w:hyperlink w:anchor="_Toc478641571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ПРЕДВАРИТЕЛЬНЫЕ ИТОГИ СОЦИАЛЬНО-ЭКОНОМИЧЕСКОГО РАЗВИТИЯ ГОРОДА КЕМЕРОВО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_Toc478641571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2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ДЕМОГРАФИЧЕСКАЯ СИТУАЦИЯ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_Toc478641572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5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3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ТРУДОВЫЕ РЕСУРСЫ И ЗАНЯТОСТЬ НАСЕЛЕНИЯ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_Toc478641573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6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4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УРОВЕНЬ ЖИЗНИ НАСЕЛЕНИЯ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_Toc478641574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7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7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ОБОРОТ ОРГАНИЗАЦИЙ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_Toc478641577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9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8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ПРОМЫШЛЕННОЕ ПРОИЗВОДСТВО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_Toc478641578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9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79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ПОТРЕБИТЕЛЬСКИЙ РЫНОК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_Toc478641579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12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0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МАЛОЕ ПРЕДПРИНИМАТЕЛЬСТВО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_Toc478641580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14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1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ФИНАНСОВОЕ СОСТОЯНИЕ ОРГАНИЗАЦИЙ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_Toc478641581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15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2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ИНВЕСТИЦИИ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_Toc478641582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16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3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СТРОИТЕЛЬСТВО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_Toc478641583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18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4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Жилищное строительство и обеспечение жильем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_Toc478641584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19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5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УПРАВЛЕНИЕ МУНИЦИПАЛЬНЫМ ИМУЩЕСТВОМ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_Toc478641585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21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6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БЮДЖЕТ ГОРОДА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_Toc478641586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23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7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СОЦИАЛЬНАЯ СФЕРА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_Toc478641587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25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8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Образование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_Toc478641588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25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89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</w:rPr>
          <w:t>Культура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_Toc478641589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26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0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Спорт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_Toc478641590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27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1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Молодежная политика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_Toc478641591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28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6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Здравоохранение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_Toc478641596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29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7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Социальная защита населения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_Toc478641597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31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8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СФЕРА ЖИЗНЕОБЕСПЕЧЕНИЯ ГОРОДА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_Toc478641598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33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599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Жилищно-коммунальное хозяйство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_Toc478641599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33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600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Благоустройство и развитие улично-дорожной сети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_Toc478641600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34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22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601" w:history="1">
        <w:r w:rsidR="007113AD" w:rsidRPr="006312AA">
          <w:rPr>
            <w:rStyle w:val="af1"/>
            <w:rFonts w:ascii="Times New Roman" w:hAnsi="Times New Roman" w:cs="Times New Roman"/>
            <w:b/>
            <w:noProof/>
            <w:sz w:val="28"/>
            <w:szCs w:val="28"/>
          </w:rPr>
          <w:t>Транспорт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_Toc478641601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36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602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РАБОТА С НАСЕЛЕНИЕМ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_Toc478641602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37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Pr="006312AA" w:rsidRDefault="00AE3EDE">
      <w:pPr>
        <w:pStyle w:val="13"/>
        <w:tabs>
          <w:tab w:val="right" w:leader="dot" w:pos="9628"/>
        </w:tabs>
        <w:rPr>
          <w:rFonts w:eastAsiaTheme="minorEastAsia"/>
          <w:noProof/>
          <w:sz w:val="28"/>
          <w:szCs w:val="28"/>
          <w:lang w:eastAsia="ru-RU"/>
        </w:rPr>
      </w:pPr>
      <w:hyperlink w:anchor="_Toc478641603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ОХРАНА ПРАВОПОРЯДКА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_Toc478641603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38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Default="00AE3EDE">
      <w:pPr>
        <w:pStyle w:val="13"/>
        <w:tabs>
          <w:tab w:val="right" w:leader="dot" w:pos="9628"/>
        </w:tabs>
        <w:rPr>
          <w:rFonts w:eastAsiaTheme="minorEastAsia"/>
          <w:noProof/>
          <w:lang w:eastAsia="ru-RU"/>
        </w:rPr>
      </w:pPr>
      <w:hyperlink w:anchor="_Toc478641604" w:history="1">
        <w:r w:rsidR="007113AD" w:rsidRPr="006312AA">
          <w:rPr>
            <w:rStyle w:val="af1"/>
            <w:rFonts w:ascii="Times New Roman" w:eastAsia="Times New Roman" w:hAnsi="Times New Roman" w:cs="Times New Roman"/>
            <w:b/>
            <w:noProof/>
            <w:sz w:val="28"/>
            <w:szCs w:val="28"/>
            <w:lang w:eastAsia="ru-RU"/>
          </w:rPr>
          <w:t>СРЕДСТВА МАССОВОЙ ИНФОРМАЦИИ</w:t>
        </w:r>
        <w:r w:rsidR="007113AD" w:rsidRPr="006312AA">
          <w:rPr>
            <w:noProof/>
            <w:webHidden/>
            <w:sz w:val="28"/>
            <w:szCs w:val="28"/>
          </w:rPr>
          <w:tab/>
        </w:r>
        <w:r w:rsidR="007113AD" w:rsidRPr="006312AA">
          <w:rPr>
            <w:noProof/>
            <w:webHidden/>
            <w:sz w:val="28"/>
            <w:szCs w:val="28"/>
          </w:rPr>
          <w:fldChar w:fldCharType="begin"/>
        </w:r>
        <w:r w:rsidR="007113AD" w:rsidRPr="006312AA">
          <w:rPr>
            <w:noProof/>
            <w:webHidden/>
            <w:sz w:val="28"/>
            <w:szCs w:val="28"/>
          </w:rPr>
          <w:instrText xml:space="preserve"> PAGEREF _Toc478641604 \h </w:instrText>
        </w:r>
        <w:r w:rsidR="007113AD" w:rsidRPr="006312AA">
          <w:rPr>
            <w:noProof/>
            <w:webHidden/>
            <w:sz w:val="28"/>
            <w:szCs w:val="28"/>
          </w:rPr>
        </w:r>
        <w:r w:rsidR="007113AD" w:rsidRPr="006312AA">
          <w:rPr>
            <w:noProof/>
            <w:webHidden/>
            <w:sz w:val="28"/>
            <w:szCs w:val="28"/>
          </w:rPr>
          <w:fldChar w:fldCharType="separate"/>
        </w:r>
        <w:r w:rsidR="00694FEC">
          <w:rPr>
            <w:noProof/>
            <w:webHidden/>
            <w:sz w:val="28"/>
            <w:szCs w:val="28"/>
          </w:rPr>
          <w:t>40</w:t>
        </w:r>
        <w:r w:rsidR="007113AD" w:rsidRPr="006312AA">
          <w:rPr>
            <w:noProof/>
            <w:webHidden/>
            <w:sz w:val="28"/>
            <w:szCs w:val="28"/>
          </w:rPr>
          <w:fldChar w:fldCharType="end"/>
        </w:r>
      </w:hyperlink>
    </w:p>
    <w:p w:rsidR="007113AD" w:rsidRDefault="00A745BF" w:rsidP="007113AD">
      <w:pPr>
        <w:pStyle w:val="1"/>
        <w:keepNext w:val="0"/>
        <w:keepLines w:val="0"/>
        <w:widowControl w:val="0"/>
        <w:jc w:val="center"/>
        <w:rPr>
          <w:rFonts w:eastAsia="Times New Roman"/>
          <w:color w:val="FF0000"/>
          <w:sz w:val="28"/>
          <w:szCs w:val="28"/>
          <w:lang w:eastAsia="ru-RU"/>
        </w:rPr>
      </w:pPr>
      <w:r w:rsidRPr="0038709F">
        <w:rPr>
          <w:rFonts w:eastAsia="Times New Roman"/>
          <w:color w:val="FF0000"/>
          <w:sz w:val="28"/>
          <w:szCs w:val="28"/>
          <w:lang w:eastAsia="ru-RU"/>
        </w:rPr>
        <w:fldChar w:fldCharType="end"/>
      </w:r>
      <w:bookmarkStart w:id="0" w:name="_Toc478641571"/>
    </w:p>
    <w:p w:rsidR="007113AD" w:rsidRDefault="007113AD" w:rsidP="007113AD">
      <w:pPr>
        <w:rPr>
          <w:lang w:eastAsia="ru-RU"/>
        </w:rPr>
      </w:pPr>
    </w:p>
    <w:p w:rsidR="00A745BF" w:rsidRPr="00366F49" w:rsidRDefault="00A745BF" w:rsidP="007113AD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366F49">
        <w:rPr>
          <w:rFonts w:ascii="Times New Roman" w:hAnsi="Times New Roman" w:cs="Times New Roman"/>
          <w:b/>
          <w:color w:val="auto"/>
        </w:rPr>
        <w:lastRenderedPageBreak/>
        <w:t>ПРЕДВАРИТЕЛЬНЫЕ ИТОГИ СОЦИАЛЬНО-ЭКОНОМИЧЕСКОГО РАЗВИТИЯ ГОРОДА КЕМЕРОВО</w:t>
      </w:r>
      <w:bookmarkEnd w:id="0"/>
    </w:p>
    <w:p w:rsidR="00A745BF" w:rsidRPr="00366F49" w:rsidRDefault="00A745BF" w:rsidP="007113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 данным Кемеровостата по состоянию на </w:t>
      </w:r>
      <w:r w:rsidR="0038709F" w:rsidRPr="00366F49">
        <w:rPr>
          <w:rFonts w:ascii="Times New Roman" w:eastAsia="Times New Roman" w:hAnsi="Times New Roman" w:cs="Times New Roman"/>
          <w:sz w:val="24"/>
          <w:szCs w:val="28"/>
          <w:lang w:eastAsia="ru-RU"/>
        </w:rPr>
        <w:t>15.02.2017</w:t>
      </w:r>
      <w:r w:rsidRPr="00366F4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745BF" w:rsidRPr="00366F49" w:rsidRDefault="00A745BF" w:rsidP="007113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745BF" w:rsidRPr="0038709F" w:rsidRDefault="00A745BF" w:rsidP="00711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C2C74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709F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4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Кемерово стал столицей празднования областного Дня Шахтера.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61F9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оциально-экономическое развитие 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2261F9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Кемерово </w:t>
      </w:r>
      <w:r w:rsidR="002261F9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характеризовалось разнонаправленной динамикой. </w:t>
      </w:r>
      <w:r w:rsidR="00A72D65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</w:t>
      </w:r>
      <w:r w:rsidR="002261F9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ряда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показателей</w:t>
      </w:r>
      <w:r w:rsidR="00A72D65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9F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рост относительно 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50774"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таких макроэкономических показателей как, индекс промышленного производства, </w:t>
      </w:r>
      <w:r w:rsidRPr="00B0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введенного в эксплуатацию жилья и среднемесячная начисленная заработная плата по крупным и средним предприятиям. </w:t>
      </w:r>
    </w:p>
    <w:p w:rsidR="00A745BF" w:rsidRPr="0038709F" w:rsidRDefault="00A745BF" w:rsidP="007113A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45BF" w:rsidRPr="0038709F" w:rsidRDefault="00A745BF" w:rsidP="007113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sectPr w:rsidR="00A745BF" w:rsidRPr="0038709F" w:rsidSect="004123F6">
          <w:footerReference w:type="default" r:id="rId9"/>
          <w:pgSz w:w="11906" w:h="16838"/>
          <w:pgMar w:top="851" w:right="1134" w:bottom="851" w:left="1134" w:header="680" w:footer="510" w:gutter="0"/>
          <w:pgNumType w:start="1"/>
          <w:cols w:space="708"/>
          <w:titlePg/>
          <w:docGrid w:linePitch="360"/>
        </w:sectPr>
      </w:pPr>
    </w:p>
    <w:p w:rsidR="00A745BF" w:rsidRPr="0038709F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Промышленность</w:t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крупных и средних предприятиях </w:t>
      </w: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промышленности 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</w:t>
      </w:r>
      <w:r w:rsidRPr="0038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 производства </w:t>
      </w:r>
      <w:r w:rsidR="00C735F3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709F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7C77FD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735F3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обусловлено увеличением объемов производства и распределения электроэнергии, газа и воды на </w:t>
      </w:r>
      <w:r w:rsidR="0038709F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F10A3A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709F"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обрабатывающих производств –                      на 1,2 %</w:t>
      </w:r>
      <w:r w:rsidRPr="00387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5BF" w:rsidRPr="0038709F" w:rsidRDefault="00A745BF" w:rsidP="003014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6AE14E" wp14:editId="4F525BEE">
            <wp:extent cx="3095625" cy="1993265"/>
            <wp:effectExtent l="0" t="0" r="9525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146E" w:rsidRPr="0038709F" w:rsidRDefault="0030146E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146E" w:rsidRPr="0038709F" w:rsidRDefault="0030146E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30146E" w:rsidRPr="0038709F" w:rsidSect="00A745BF">
          <w:type w:val="continuous"/>
          <w:pgSz w:w="11906" w:h="16838"/>
          <w:pgMar w:top="1134" w:right="851" w:bottom="1134" w:left="1418" w:header="708" w:footer="708" w:gutter="0"/>
          <w:pgNumType w:start="1"/>
          <w:cols w:num="2" w:space="227"/>
          <w:titlePg/>
          <w:docGrid w:linePitch="360"/>
        </w:sectPr>
      </w:pPr>
    </w:p>
    <w:p w:rsidR="00A745BF" w:rsidRPr="00211AE8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1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Строительство</w:t>
      </w:r>
    </w:p>
    <w:p w:rsidR="00A745BF" w:rsidRPr="00211AE8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города выполнен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211AE8"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21,0</w:t>
      </w:r>
      <w:r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 руб</w:t>
      </w:r>
      <w:r w:rsidR="00415757"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сопоставимых ценах состав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AE8"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81,1</w:t>
      </w:r>
      <w:r w:rsidR="00415757"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</w:t>
      </w:r>
      <w:r w:rsidR="00415757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Объем введенного в эксплуатацию жилья составил </w:t>
      </w:r>
      <w:r w:rsidR="00211AE8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11AE8"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321,6</w:t>
      </w:r>
      <w:r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кв. м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11AE8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="0037744A" w:rsidRPr="0021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больше уровня 2015 года.</w:t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40"/>
          <w:szCs w:val="28"/>
          <w:lang w:eastAsia="ru-RU"/>
        </w:rPr>
      </w:pPr>
    </w:p>
    <w:p w:rsidR="00A745BF" w:rsidRPr="00387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59D9733" wp14:editId="29BE3BEC">
            <wp:extent cx="3085465" cy="1838325"/>
            <wp:effectExtent l="0" t="0" r="63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45BF" w:rsidRPr="0038709F" w:rsidRDefault="00A745BF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745BF" w:rsidRPr="0038709F" w:rsidSect="00A745BF">
          <w:type w:val="continuous"/>
          <w:pgSz w:w="11906" w:h="16838"/>
          <w:pgMar w:top="1134" w:right="851" w:bottom="1134" w:left="1418" w:header="708" w:footer="708" w:gutter="0"/>
          <w:pgNumType w:start="1"/>
          <w:cols w:num="2" w:space="227"/>
          <w:titlePg/>
          <w:docGrid w:linePitch="360"/>
        </w:sectPr>
      </w:pPr>
    </w:p>
    <w:p w:rsidR="00A745BF" w:rsidRPr="009C574E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57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Инвестиции</w:t>
      </w:r>
    </w:p>
    <w:p w:rsidR="00A745BF" w:rsidRPr="0038709F" w:rsidRDefault="003F765E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9C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рганизациями города всех форм собственности 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201</w:t>
      </w:r>
      <w:r w:rsidR="0060313C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направлено </w:t>
      </w:r>
      <w:r w:rsidR="009C574E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30,3</w:t>
      </w:r>
      <w:r w:rsidR="00A745BF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инвестиций в основной капитал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что в сопоставимых ценах 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B06B8C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>23,7</w:t>
      </w:r>
      <w:r w:rsidR="00806715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ниже уровня </w:t>
      </w:r>
      <w:r w:rsidR="00806715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>2015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  <w:r w:rsidR="00A745BF" w:rsidRPr="00B0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Объем </w:t>
      </w:r>
      <w:r w:rsidR="00A745BF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инвестиций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крупным и средним предприятиям </w:t>
      </w:r>
      <w:r w:rsidR="009924B9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сложился на уровне </w:t>
      </w:r>
      <w:r w:rsidR="009C574E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16,5</w:t>
      </w:r>
      <w:r w:rsidR="00A745BF" w:rsidRPr="009C574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</w:t>
      </w:r>
      <w:r w:rsidR="00A745BF" w:rsidRPr="009C57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(снижение </w:t>
      </w:r>
      <w:r w:rsidR="009924B9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сопоставимых ценах составило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6B8C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>11,8</w:t>
      </w:r>
      <w:r w:rsidR="009924B9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B06B8C">
        <w:rPr>
          <w:rFonts w:ascii="Times New Roman" w:eastAsia="Times New Roman" w:hAnsi="Times New Roman" w:cs="Times New Roman"/>
          <w:sz w:val="28"/>
          <w:szCs w:val="28"/>
          <w:lang w:eastAsia="x-none"/>
        </w:rPr>
        <w:t>%).</w:t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387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20D8FA6" wp14:editId="5D4C8EA5">
            <wp:extent cx="3085465" cy="2238375"/>
            <wp:effectExtent l="0" t="0" r="6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45BF" w:rsidRPr="0038709F" w:rsidRDefault="00A745BF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745BF" w:rsidRPr="0038709F" w:rsidSect="00A745BF">
          <w:type w:val="continuous"/>
          <w:pgSz w:w="11906" w:h="16838"/>
          <w:pgMar w:top="1134" w:right="851" w:bottom="1134" w:left="1418" w:header="708" w:footer="708" w:gutter="0"/>
          <w:pgNumType w:start="1"/>
          <w:cols w:num="2" w:space="227"/>
          <w:titlePg/>
          <w:docGrid w:linePitch="360"/>
        </w:sectPr>
      </w:pPr>
    </w:p>
    <w:p w:rsidR="00A745BF" w:rsidRPr="0038709F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23F6" w:rsidRPr="0038709F" w:rsidRDefault="004123F6" w:rsidP="00A745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45BF" w:rsidRPr="00F3309F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Потребительский рыно</w:t>
      </w:r>
      <w:r w:rsidR="006E3580" w:rsidRPr="00F330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Pr="00F33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A745BF" w:rsidRPr="00266906" w:rsidRDefault="00034C85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45BF"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потребительском рынке</w:t>
      </w:r>
      <w:r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7552E"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67552E"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</w:t>
      </w:r>
      <w:r w:rsidR="0067552E"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66906" w:rsidRPr="00F3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увеличение </w:t>
      </w:r>
      <w:r w:rsidR="00266906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оборота общественного питания до </w:t>
      </w:r>
      <w:r w:rsidR="00266906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5,7 млрд. рублей, </w:t>
      </w:r>
      <w:r w:rsidR="005A63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</w:t>
      </w:r>
      <w:r w:rsidR="00A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906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время произошло </w:t>
      </w:r>
      <w:r w:rsidR="0067552E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снижение</w:t>
      </w:r>
      <w:r w:rsidR="006408FD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платных услуг населению – </w:t>
      </w:r>
      <w:r w:rsidR="00266906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0FEE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7552E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35,1</w:t>
      </w:r>
      <w:r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 рублей</w:t>
      </w:r>
      <w:r w:rsidR="00266906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906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5BF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45BF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торговли </w:t>
      </w:r>
      <w:r w:rsidR="00420FEE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745BF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52E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101,2</w:t>
      </w:r>
      <w:r w:rsidR="00A745BF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 руб</w:t>
      </w:r>
      <w:r w:rsidR="00E96CF0" w:rsidRPr="0026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лей.</w:t>
      </w:r>
      <w:r w:rsidR="00A745BF" w:rsidRPr="0026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5BF" w:rsidRPr="00387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D094AC0" wp14:editId="48858D6D">
            <wp:extent cx="3085465" cy="1800225"/>
            <wp:effectExtent l="0" t="0" r="63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45BF" w:rsidRPr="0038709F" w:rsidRDefault="00A745BF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745BF" w:rsidRPr="0038709F" w:rsidSect="006E3580">
          <w:type w:val="continuous"/>
          <w:pgSz w:w="11906" w:h="16838"/>
          <w:pgMar w:top="1134" w:right="851" w:bottom="1134" w:left="1418" w:header="708" w:footer="708" w:gutter="0"/>
          <w:pgNumType w:start="3"/>
          <w:cols w:num="2" w:space="227"/>
          <w:titlePg/>
          <w:docGrid w:linePitch="360"/>
        </w:sectPr>
      </w:pPr>
    </w:p>
    <w:p w:rsidR="00A2308F" w:rsidRPr="0038709F" w:rsidRDefault="00A2308F" w:rsidP="00A745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A745BF" w:rsidRPr="0095414B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41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Цены</w:t>
      </w:r>
    </w:p>
    <w:p w:rsidR="00A745BF" w:rsidRPr="00060080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потребительских цен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5414B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отношению к предыдущему месяцу составил 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53B84" w:rsidRPr="009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</w:t>
      </w:r>
      <w:r w:rsidR="0095414B" w:rsidRPr="009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3B84" w:rsidRPr="009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продовольственные товары – 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95414B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непродовольственные товары – 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95414B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услуги – </w:t>
      </w:r>
      <w:r w:rsidR="0095414B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153B84"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 начала текущего года индекс потребительских цен </w:t>
      </w:r>
      <w:r w:rsidRPr="0006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95414B" w:rsidRPr="0006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104,5</w:t>
      </w:r>
      <w:r w:rsidR="00153B84" w:rsidRPr="0006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0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:rsidR="00A745BF" w:rsidRPr="0038709F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387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745BF" w:rsidRPr="0038709F" w:rsidSect="00A745BF">
          <w:type w:val="continuous"/>
          <w:pgSz w:w="11906" w:h="16838"/>
          <w:pgMar w:top="1134" w:right="851" w:bottom="1134" w:left="1418" w:header="708" w:footer="708" w:gutter="0"/>
          <w:pgNumType w:start="1"/>
          <w:cols w:num="2" w:space="227"/>
          <w:titlePg/>
          <w:docGrid w:linePitch="360"/>
        </w:sect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68F7B18" wp14:editId="09722229">
            <wp:extent cx="3067050" cy="1971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45BF" w:rsidRPr="00854A93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4A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жизни населения</w:t>
      </w:r>
    </w:p>
    <w:p w:rsidR="00A745BF" w:rsidRPr="00854A93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Среднемесячная начисленная заработная плата 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крупным и средним предприятиям в среднем за </w:t>
      </w:r>
      <w:r w:rsidR="00B4066F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B1922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854A93"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50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310,7</w:t>
      </w:r>
      <w:r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увеличилась к уровню </w:t>
      </w:r>
      <w:r w:rsidR="004B1922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номинально на</w:t>
      </w:r>
      <w:r w:rsidR="00854A93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</w:t>
      </w:r>
      <w:r w:rsidR="00500B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922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745BF" w:rsidRPr="00854A93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реальной заработной платы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 w:rsidR="00854A93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1922"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854A93"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</w:t>
      </w:r>
      <w:r w:rsidR="0050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B1922"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%.</w:t>
      </w:r>
    </w:p>
    <w:p w:rsidR="00A745BF" w:rsidRPr="00253E7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Cs w:val="28"/>
          <w:lang w:eastAsia="x-none"/>
        </w:rPr>
      </w:pP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38709F" w:rsidRDefault="00F84794" w:rsidP="00F8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A953B95" wp14:editId="4A1BC847">
            <wp:extent cx="2987675" cy="1915411"/>
            <wp:effectExtent l="0" t="0" r="317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45BF" w:rsidRPr="00F33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ru-RU"/>
        </w:rPr>
      </w:pPr>
    </w:p>
    <w:p w:rsidR="00A745BF" w:rsidRPr="0038709F" w:rsidRDefault="00A745BF" w:rsidP="00A745BF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A745BF" w:rsidRPr="0038709F" w:rsidSect="00A745BF">
          <w:type w:val="continuous"/>
          <w:pgSz w:w="11906" w:h="16838"/>
          <w:pgMar w:top="1134" w:right="851" w:bottom="1134" w:left="1418" w:header="708" w:footer="708" w:gutter="0"/>
          <w:pgNumType w:start="1"/>
          <w:cols w:num="2" w:space="227"/>
          <w:titlePg/>
          <w:docGrid w:linePitch="360"/>
        </w:sectPr>
      </w:pPr>
    </w:p>
    <w:p w:rsidR="00A745BF" w:rsidRPr="00EA51E6" w:rsidRDefault="00A745BF" w:rsidP="00A74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A51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Рынок труда</w:t>
      </w:r>
    </w:p>
    <w:p w:rsidR="00A745BF" w:rsidRPr="00EA51E6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зарегистрированных безработных</w:t>
      </w:r>
      <w:r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с начала 201</w:t>
      </w:r>
      <w:r w:rsidR="00526C18"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увеличилось</w:t>
      </w:r>
      <w:r w:rsidR="007D0418"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4EE"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3A04E8"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%.</w:t>
      </w:r>
    </w:p>
    <w:p w:rsidR="00A745BF" w:rsidRPr="00EA51E6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Нагрузка </w:t>
      </w:r>
      <w:r w:rsidRPr="00E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одну вакансию составила </w:t>
      </w:r>
      <w:r w:rsidR="003A04A0"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F744EE"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A04A0"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A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человека.</w:t>
      </w:r>
    </w:p>
    <w:p w:rsidR="00946222" w:rsidRPr="00EA51E6" w:rsidRDefault="00946222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222" w:rsidRPr="0038709F" w:rsidRDefault="00946222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46222" w:rsidRDefault="00946222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3E72" w:rsidRPr="00253E72" w:rsidRDefault="00253E72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28"/>
          <w:lang w:eastAsia="ru-RU"/>
        </w:rPr>
      </w:pPr>
    </w:p>
    <w:p w:rsidR="00A745BF" w:rsidRPr="0038709F" w:rsidRDefault="00A745BF" w:rsidP="00F84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6DF1D18" wp14:editId="586BD844">
            <wp:extent cx="3075940" cy="1838325"/>
            <wp:effectExtent l="0" t="0" r="1016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45BF" w:rsidRPr="0038709F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x-none"/>
        </w:rPr>
        <w:sectPr w:rsidR="00A745BF" w:rsidRPr="0038709F" w:rsidSect="00A745BF">
          <w:type w:val="continuous"/>
          <w:pgSz w:w="11906" w:h="16838"/>
          <w:pgMar w:top="1134" w:right="851" w:bottom="851" w:left="1418" w:header="709" w:footer="709" w:gutter="0"/>
          <w:pgNumType w:start="1"/>
          <w:cols w:num="2" w:space="227"/>
          <w:titlePg/>
          <w:docGrid w:linePitch="360"/>
        </w:sectPr>
      </w:pPr>
    </w:p>
    <w:p w:rsidR="00A745BF" w:rsidRPr="009C574E" w:rsidRDefault="000660C6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9C57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48B89" wp14:editId="1279D0A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267450" cy="190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5D28E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pt" to="493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745BF" w:rsidRPr="009C574E">
        <w:rPr>
          <w:rFonts w:ascii="Times New Roman" w:eastAsia="Times New Roman" w:hAnsi="Times New Roman" w:cs="Times New Roman"/>
          <w:sz w:val="24"/>
          <w:szCs w:val="28"/>
          <w:lang w:eastAsia="x-none"/>
        </w:rPr>
        <w:t>*Данные рассчитаны Кемеровостатом в аналитических целях в качестве оценочных и не являются официальной статистической информацией</w:t>
      </w:r>
    </w:p>
    <w:p w:rsidR="00A745BF" w:rsidRPr="0038709F" w:rsidRDefault="00A745BF" w:rsidP="00A74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sectPr w:rsidR="00A745BF" w:rsidRPr="0038709F" w:rsidSect="006E3580">
          <w:type w:val="continuous"/>
          <w:pgSz w:w="11906" w:h="16838"/>
          <w:pgMar w:top="1134" w:right="851" w:bottom="851" w:left="1418" w:header="709" w:footer="709" w:gutter="0"/>
          <w:pgNumType w:start="5"/>
          <w:cols w:space="227"/>
          <w:titlePg/>
          <w:docGrid w:linePitch="360"/>
        </w:sectPr>
      </w:pPr>
    </w:p>
    <w:p w:rsidR="00A745BF" w:rsidRPr="00925EFF" w:rsidRDefault="00A745BF" w:rsidP="0034187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478641572"/>
      <w:r w:rsidRPr="00925EFF">
        <w:rPr>
          <w:rFonts w:ascii="Times New Roman" w:hAnsi="Times New Roman" w:cs="Times New Roman"/>
          <w:b/>
          <w:color w:val="auto"/>
        </w:rPr>
        <w:lastRenderedPageBreak/>
        <w:t>ДЕМОГРАФИЧЕСКАЯ СИТУАЦИЯ</w:t>
      </w:r>
      <w:bookmarkEnd w:id="1"/>
    </w:p>
    <w:p w:rsidR="009B5E12" w:rsidRPr="00EF7440" w:rsidRDefault="009B5E12" w:rsidP="009B5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Toc365274139"/>
      <w:r w:rsidRPr="00EF74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 данным Кемеровостата по состоянию на </w:t>
      </w:r>
      <w:r w:rsidR="00925EFF" w:rsidRPr="00EF7440">
        <w:rPr>
          <w:rFonts w:ascii="Times New Roman" w:eastAsia="Times New Roman" w:hAnsi="Times New Roman" w:cs="Times New Roman"/>
          <w:sz w:val="24"/>
          <w:szCs w:val="28"/>
          <w:lang w:eastAsia="ru-RU"/>
        </w:rPr>
        <w:t>10.0</w:t>
      </w:r>
      <w:r w:rsidR="003D565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F7440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925EFF" w:rsidRPr="00EF7440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EF744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9B5E12" w:rsidRPr="0038709F" w:rsidRDefault="009B5E12" w:rsidP="009B5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8"/>
          <w:lang w:eastAsia="x-none"/>
        </w:rPr>
      </w:pPr>
    </w:p>
    <w:tbl>
      <w:tblPr>
        <w:tblpPr w:leftFromText="180" w:rightFromText="180" w:vertAnchor="text" w:tblpXSpec="center" w:tblpY="1"/>
        <w:tblOverlap w:val="never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2214"/>
        <w:gridCol w:w="1875"/>
        <w:gridCol w:w="1875"/>
      </w:tblGrid>
      <w:tr w:rsidR="00927FBA" w:rsidRPr="00EF7440" w:rsidTr="00927FBA">
        <w:trPr>
          <w:trHeight w:val="7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родившихся на 1000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27FBA" w:rsidRPr="00EF7440" w:rsidTr="00927FBA">
        <w:trPr>
          <w:trHeight w:val="39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умерших на 1000 чел.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12,1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населения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 населения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браков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3 507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разводов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</w:t>
            </w:r>
          </w:p>
        </w:tc>
      </w:tr>
      <w:tr w:rsidR="00927FBA" w:rsidRPr="00EF7440" w:rsidTr="00927FBA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браков к числу разводов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BA" w:rsidRPr="00EF7440" w:rsidRDefault="00927FBA" w:rsidP="00927FBA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</w:tbl>
    <w:p w:rsidR="009B5E12" w:rsidRPr="0038709F" w:rsidRDefault="009B5E12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0"/>
          <w:szCs w:val="28"/>
          <w:lang w:eastAsia="x-none"/>
        </w:rPr>
      </w:pPr>
    </w:p>
    <w:p w:rsidR="009B5E12" w:rsidRPr="00F6273A" w:rsidRDefault="009B5E12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Среднегодовая численность постоянного населения города за                        2016 год составила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554 998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</w:t>
      </w:r>
    </w:p>
    <w:p w:rsidR="009B5E12" w:rsidRPr="00F6273A" w:rsidRDefault="0016633F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город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родилось 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893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ребенка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99,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к 2015 год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Число </w:t>
      </w:r>
      <w:r w:rsidR="00681783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родившихся превысило число умерших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2,9</w:t>
      </w:r>
      <w:r w:rsidR="009B5E12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9B5E12" w:rsidRPr="00F6273A" w:rsidRDefault="009B5E12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Естественный прирост населения (превышение числа родившихся над числом умерших) </w:t>
      </w:r>
      <w:r w:rsidR="00806F0E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составил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195</w:t>
      </w:r>
      <w:r w:rsidR="00F6273A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человек, сократившись на </w:t>
      </w:r>
      <w:r w:rsidR="00D83D7D">
        <w:rPr>
          <w:rFonts w:ascii="Times New Roman" w:eastAsia="Times New Roman" w:hAnsi="Times New Roman" w:cs="Times New Roman"/>
          <w:sz w:val="28"/>
          <w:szCs w:val="28"/>
          <w:lang w:eastAsia="x-none"/>
        </w:rPr>
        <w:t>35,4</w:t>
      </w:r>
      <w:r w:rsidR="00F6273A"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по сравнению с 2015 годом</w:t>
      </w:r>
      <w:r w:rsidRPr="00F6273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B5E12" w:rsidRPr="0038709F" w:rsidRDefault="009B5E12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9B5E12" w:rsidRPr="0038709F" w:rsidRDefault="009B5E12" w:rsidP="009B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38709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14A3B206" wp14:editId="66F15C9B">
            <wp:extent cx="6050915" cy="2276475"/>
            <wp:effectExtent l="76200" t="19050" r="45085" b="85725"/>
            <wp:docPr id="10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5E12" w:rsidRPr="00603478" w:rsidRDefault="009B5E12" w:rsidP="009B5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x-none"/>
        </w:rPr>
      </w:pPr>
    </w:p>
    <w:p w:rsidR="009B5E12" w:rsidRPr="00603478" w:rsidRDefault="00806F0E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С начала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в город прибыло на постоянное проживание </w:t>
      </w:r>
      <w:r w:rsidR="00052735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17 264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052735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а выбыло </w:t>
      </w:r>
      <w:r w:rsidR="00052735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13 615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 В результате 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положительное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миграционное сальдо составило </w:t>
      </w:r>
      <w:r w:rsidR="00052735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3 649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 (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миграционн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ый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прирост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3 615</w:t>
      </w:r>
      <w:r w:rsidR="009B5E12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человек). </w:t>
      </w:r>
    </w:p>
    <w:p w:rsidR="009B5E12" w:rsidRPr="00603478" w:rsidRDefault="009B5E12" w:rsidP="009B5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Таким образом, по состоянию на 01.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численность населения города Кемерово составила </w:t>
      </w:r>
      <w:r w:rsidR="00603478"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>556 9</w:t>
      </w:r>
      <w:r w:rsidR="00860919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6034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 </w:t>
      </w:r>
    </w:p>
    <w:p w:rsidR="00A745BF" w:rsidRPr="00B65564" w:rsidRDefault="00464AA4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" w:name="_Toc478641573"/>
      <w:r w:rsidRPr="00B65564">
        <w:rPr>
          <w:rFonts w:ascii="Times New Roman" w:hAnsi="Times New Roman" w:cs="Times New Roman"/>
          <w:b/>
          <w:color w:val="auto"/>
        </w:rPr>
        <w:lastRenderedPageBreak/>
        <w:t>Т</w:t>
      </w:r>
      <w:r w:rsidR="00A745BF" w:rsidRPr="00B65564">
        <w:rPr>
          <w:rFonts w:ascii="Times New Roman" w:hAnsi="Times New Roman" w:cs="Times New Roman"/>
          <w:b/>
          <w:color w:val="auto"/>
        </w:rPr>
        <w:t>РУДОВЫЕ РЕСУРСЫ И ЗАНЯТОСТЬ НАСЕЛЕНИЯ</w:t>
      </w:r>
      <w:bookmarkEnd w:id="2"/>
      <w:bookmarkEnd w:id="3"/>
    </w:p>
    <w:p w:rsidR="00A745BF" w:rsidRPr="00B65564" w:rsidRDefault="00525274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655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 данным Кемеровостата по состоянию на </w:t>
      </w:r>
      <w:r w:rsidR="00B65564">
        <w:rPr>
          <w:rFonts w:ascii="Times New Roman" w:eastAsia="Times New Roman" w:hAnsi="Times New Roman" w:cs="Times New Roman"/>
          <w:sz w:val="24"/>
          <w:szCs w:val="28"/>
          <w:lang w:eastAsia="ru-RU"/>
        </w:rPr>
        <w:t>20.02.2017</w:t>
      </w:r>
      <w:r w:rsidRPr="00B6556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525274" w:rsidRPr="00B65564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274" w:rsidRPr="00B65564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C4021E"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продолжилась тенденция к уменьшению численности трудоспособного населения и их доли в обще</w:t>
      </w:r>
      <w:r w:rsidR="00C4021E"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1E"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Pr="00B6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города.</w:t>
      </w:r>
    </w:p>
    <w:p w:rsidR="00525274" w:rsidRPr="00B65564" w:rsidRDefault="002A7455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сведениям органов</w:t>
      </w:r>
      <w:r w:rsidR="00C4021E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статистики, 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 год</w:t>
      </w:r>
      <w:r w:rsidR="00C4021E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крупных и средних организациях города трудились </w:t>
      </w:r>
      <w:r w:rsidR="00C4021E" w:rsidRPr="00B655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143 063</w:t>
      </w:r>
      <w:r w:rsidR="00525274" w:rsidRPr="00B655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человек</w:t>
      </w:r>
      <w:r w:rsidR="00C4021E" w:rsidRPr="00B6556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B6556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сравнени</w:t>
      </w:r>
      <w:r w:rsidR="00B6556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прошл</w:t>
      </w:r>
      <w:r w:rsidR="00B6556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ым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B6556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численность работников крупных и средних предприятий города Кемерово снизилась на 2,</w:t>
      </w:r>
      <w:r w:rsidR="00B6556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525274" w:rsidRPr="00B655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525274" w:rsidRPr="002F0E6F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Увеличение численности работников на </w:t>
      </w:r>
      <w:r w:rsidR="002F0E6F" w:rsidRPr="002F0E6F">
        <w:rPr>
          <w:rFonts w:ascii="Times New Roman" w:eastAsia="Times New Roman" w:hAnsi="Times New Roman" w:cs="Times New Roman"/>
          <w:sz w:val="28"/>
          <w:szCs w:val="28"/>
          <w:lang w:eastAsia="x-none"/>
        </w:rPr>
        <w:t>39</w:t>
      </w:r>
      <w:r w:rsidRPr="002F0E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 произошло в организациях следующих видов деятельности:</w:t>
      </w:r>
    </w:p>
    <w:p w:rsidR="00525274" w:rsidRPr="002F0E6F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2F0E6F">
        <w:rPr>
          <w:bCs/>
          <w:iCs/>
          <w:sz w:val="28"/>
          <w:szCs w:val="20"/>
        </w:rPr>
        <w:sym w:font="Symbol" w:char="F0B7"/>
      </w:r>
      <w:r w:rsidRPr="002F0E6F">
        <w:rPr>
          <w:bCs/>
          <w:iCs/>
          <w:sz w:val="28"/>
          <w:szCs w:val="20"/>
        </w:rPr>
        <w:t xml:space="preserve">   добыча полезных ископаемых                            - </w:t>
      </w:r>
      <w:r w:rsidR="002F0E6F" w:rsidRPr="002F0E6F">
        <w:rPr>
          <w:bCs/>
          <w:iCs/>
          <w:sz w:val="28"/>
          <w:szCs w:val="20"/>
        </w:rPr>
        <w:t>29</w:t>
      </w:r>
      <w:r w:rsidRPr="002F0E6F">
        <w:rPr>
          <w:bCs/>
          <w:iCs/>
          <w:sz w:val="28"/>
          <w:szCs w:val="20"/>
        </w:rPr>
        <w:t xml:space="preserve"> человека,</w:t>
      </w:r>
    </w:p>
    <w:p w:rsidR="00525274" w:rsidRPr="0038709F" w:rsidRDefault="00525274" w:rsidP="00525274">
      <w:pPr>
        <w:pStyle w:val="newsshowstyle"/>
        <w:spacing w:before="0" w:beforeAutospacing="0" w:after="0" w:afterAutospacing="0"/>
        <w:jc w:val="both"/>
        <w:rPr>
          <w:bCs/>
          <w:iCs/>
          <w:color w:val="FF0000"/>
          <w:sz w:val="28"/>
          <w:szCs w:val="20"/>
        </w:rPr>
      </w:pPr>
      <w:r w:rsidRPr="0038709F">
        <w:rPr>
          <w:bCs/>
          <w:iCs/>
          <w:color w:val="FF0000"/>
          <w:sz w:val="28"/>
          <w:szCs w:val="20"/>
        </w:rPr>
        <w:t xml:space="preserve">                    </w:t>
      </w:r>
    </w:p>
    <w:p w:rsidR="00525274" w:rsidRPr="002F0E6F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2F0E6F">
        <w:rPr>
          <w:bCs/>
          <w:iCs/>
          <w:sz w:val="28"/>
          <w:szCs w:val="20"/>
        </w:rPr>
        <w:sym w:font="Symbol" w:char="F0B7"/>
      </w:r>
      <w:r w:rsidRPr="002F0E6F">
        <w:rPr>
          <w:bCs/>
          <w:iCs/>
          <w:sz w:val="28"/>
          <w:szCs w:val="20"/>
        </w:rPr>
        <w:t xml:space="preserve">   сельское хозяйство, охота 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и лесное хозяйство                                               - </w:t>
      </w:r>
      <w:r w:rsidR="002F0E6F" w:rsidRPr="000E15E7">
        <w:rPr>
          <w:bCs/>
          <w:iCs/>
          <w:sz w:val="28"/>
          <w:szCs w:val="20"/>
        </w:rPr>
        <w:t>5</w:t>
      </w:r>
      <w:r w:rsidRPr="000E15E7">
        <w:rPr>
          <w:bCs/>
          <w:iCs/>
          <w:sz w:val="28"/>
          <w:szCs w:val="20"/>
        </w:rPr>
        <w:t xml:space="preserve"> человек,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здравоохранение и предоставление 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социальных услуг                                                 - </w:t>
      </w:r>
      <w:r w:rsidR="002F0E6F" w:rsidRPr="000E15E7">
        <w:rPr>
          <w:bCs/>
          <w:iCs/>
          <w:sz w:val="28"/>
          <w:szCs w:val="20"/>
        </w:rPr>
        <w:t>5</w:t>
      </w:r>
      <w:r w:rsidRPr="000E15E7">
        <w:rPr>
          <w:bCs/>
          <w:iCs/>
          <w:sz w:val="28"/>
          <w:szCs w:val="20"/>
        </w:rPr>
        <w:t xml:space="preserve"> человек</w:t>
      </w:r>
      <w:r w:rsidR="00D31DC5" w:rsidRPr="000E15E7">
        <w:rPr>
          <w:bCs/>
          <w:iCs/>
          <w:sz w:val="28"/>
          <w:szCs w:val="20"/>
        </w:rPr>
        <w:t>.</w:t>
      </w:r>
      <w:r w:rsidRPr="000E15E7">
        <w:rPr>
          <w:bCs/>
          <w:iCs/>
          <w:sz w:val="28"/>
          <w:szCs w:val="20"/>
        </w:rPr>
        <w:t xml:space="preserve"> </w:t>
      </w:r>
    </w:p>
    <w:p w:rsidR="00525274" w:rsidRPr="000E15E7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25274" w:rsidRPr="000E15E7" w:rsidRDefault="00525274" w:rsidP="0027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</w:t>
      </w:r>
      <w:r w:rsidR="00275160"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ение</w:t>
      </w:r>
      <w:r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количеств</w:t>
      </w:r>
      <w:r w:rsidR="00275160"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занятых на </w:t>
      </w:r>
      <w:r w:rsidR="00FC0FA5"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>4 307</w:t>
      </w:r>
      <w:r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275160"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отмечено по следующим видам деятельности</w:t>
      </w:r>
      <w:r w:rsidRPr="000E15E7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государственное управление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и обеспечение военной безопасности; 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социальное страхование         </w:t>
      </w:r>
      <w:r w:rsidRPr="000E15E7">
        <w:rPr>
          <w:bCs/>
          <w:iCs/>
          <w:sz w:val="28"/>
          <w:szCs w:val="20"/>
        </w:rPr>
        <w:tab/>
      </w:r>
      <w:r w:rsidRPr="000E15E7">
        <w:rPr>
          <w:bCs/>
          <w:iCs/>
          <w:sz w:val="28"/>
          <w:szCs w:val="20"/>
        </w:rPr>
        <w:tab/>
        <w:t xml:space="preserve">              - 9</w:t>
      </w:r>
      <w:r w:rsidR="00FC0FA5" w:rsidRPr="000E15E7">
        <w:rPr>
          <w:bCs/>
          <w:iCs/>
          <w:sz w:val="28"/>
          <w:szCs w:val="20"/>
        </w:rPr>
        <w:t>14</w:t>
      </w:r>
      <w:r w:rsidRPr="000E15E7">
        <w:rPr>
          <w:bCs/>
          <w:iCs/>
          <w:sz w:val="28"/>
          <w:szCs w:val="20"/>
        </w:rPr>
        <w:t xml:space="preserve"> человек,</w:t>
      </w:r>
    </w:p>
    <w:p w:rsidR="00525274" w:rsidRPr="000E15E7" w:rsidRDefault="00525274" w:rsidP="00275160">
      <w:pPr>
        <w:pStyle w:val="newsshowstyle"/>
        <w:tabs>
          <w:tab w:val="left" w:pos="7371"/>
        </w:tabs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образование                                                           - </w:t>
      </w:r>
      <w:r w:rsidR="006F5607" w:rsidRPr="000E15E7">
        <w:rPr>
          <w:bCs/>
          <w:iCs/>
          <w:sz w:val="28"/>
          <w:szCs w:val="20"/>
        </w:rPr>
        <w:t>813</w:t>
      </w:r>
      <w:r w:rsidRPr="000E15E7">
        <w:rPr>
          <w:bCs/>
          <w:iCs/>
          <w:sz w:val="28"/>
          <w:szCs w:val="20"/>
        </w:rPr>
        <w:t xml:space="preserve"> человек,</w:t>
      </w:r>
    </w:p>
    <w:p w:rsidR="00525274" w:rsidRPr="000E15E7" w:rsidRDefault="00525274" w:rsidP="00DA6BF7">
      <w:pPr>
        <w:pStyle w:val="newsshowstyle"/>
        <w:tabs>
          <w:tab w:val="left" w:pos="7371"/>
        </w:tabs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производство и распределение 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электроэнергии, газа и воды                               - </w:t>
      </w:r>
      <w:r w:rsidR="006F5607" w:rsidRPr="000E15E7">
        <w:rPr>
          <w:bCs/>
          <w:iCs/>
          <w:sz w:val="28"/>
          <w:szCs w:val="20"/>
        </w:rPr>
        <w:t>537</w:t>
      </w:r>
      <w:r w:rsidRPr="000E15E7">
        <w:rPr>
          <w:bCs/>
          <w:iCs/>
          <w:sz w:val="28"/>
          <w:szCs w:val="20"/>
        </w:rPr>
        <w:t xml:space="preserve"> человек,    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транспорт и связь                                                 </w:t>
      </w:r>
      <w:r w:rsidR="00275160" w:rsidRPr="000E15E7">
        <w:rPr>
          <w:bCs/>
          <w:iCs/>
          <w:sz w:val="28"/>
          <w:szCs w:val="20"/>
        </w:rPr>
        <w:t xml:space="preserve"> </w:t>
      </w:r>
      <w:r w:rsidRPr="000E15E7">
        <w:rPr>
          <w:bCs/>
          <w:iCs/>
          <w:sz w:val="28"/>
          <w:szCs w:val="20"/>
        </w:rPr>
        <w:t xml:space="preserve">- </w:t>
      </w:r>
      <w:r w:rsidR="006F5607" w:rsidRPr="000E15E7">
        <w:rPr>
          <w:bCs/>
          <w:iCs/>
          <w:sz w:val="28"/>
          <w:szCs w:val="20"/>
        </w:rPr>
        <w:t>445</w:t>
      </w:r>
      <w:r w:rsidRPr="000E15E7">
        <w:rPr>
          <w:bCs/>
          <w:iCs/>
          <w:sz w:val="28"/>
          <w:szCs w:val="20"/>
        </w:rPr>
        <w:t xml:space="preserve"> человек,</w:t>
      </w:r>
    </w:p>
    <w:p w:rsidR="006F5607" w:rsidRPr="000E15E7" w:rsidRDefault="006F5607" w:rsidP="006F5607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строительство     </w:t>
      </w:r>
      <w:r w:rsidRPr="000E15E7">
        <w:rPr>
          <w:bCs/>
          <w:iCs/>
          <w:sz w:val="28"/>
          <w:szCs w:val="20"/>
        </w:rPr>
        <w:tab/>
      </w:r>
      <w:r w:rsidRPr="000E15E7">
        <w:rPr>
          <w:bCs/>
          <w:iCs/>
          <w:sz w:val="28"/>
          <w:szCs w:val="20"/>
        </w:rPr>
        <w:tab/>
      </w:r>
      <w:r w:rsidRPr="000E15E7">
        <w:rPr>
          <w:bCs/>
          <w:iCs/>
          <w:sz w:val="28"/>
          <w:szCs w:val="20"/>
        </w:rPr>
        <w:tab/>
        <w:t xml:space="preserve">                        - 384 человека,  </w:t>
      </w:r>
    </w:p>
    <w:p w:rsidR="006F5607" w:rsidRPr="000E15E7" w:rsidRDefault="006F5607" w:rsidP="006F5607">
      <w:pPr>
        <w:pStyle w:val="newsshowstyle"/>
        <w:tabs>
          <w:tab w:val="left" w:pos="7371"/>
        </w:tabs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обрабатывающие производства                          - 349 человек,</w:t>
      </w:r>
    </w:p>
    <w:p w:rsidR="006F5607" w:rsidRPr="000E15E7" w:rsidRDefault="006F5607" w:rsidP="006F5607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операции с недвижимым имуществом,</w:t>
      </w:r>
    </w:p>
    <w:p w:rsidR="006F5607" w:rsidRPr="000E15E7" w:rsidRDefault="006F5607" w:rsidP="006F5607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аренда и предоставление услуг</w:t>
      </w:r>
      <w:r w:rsidRPr="000E15E7">
        <w:rPr>
          <w:bCs/>
          <w:iCs/>
          <w:sz w:val="28"/>
          <w:szCs w:val="20"/>
        </w:rPr>
        <w:tab/>
        <w:t xml:space="preserve">                        - 251 человек,</w:t>
      </w:r>
    </w:p>
    <w:p w:rsidR="006F5607" w:rsidRPr="000E15E7" w:rsidRDefault="006F5607" w:rsidP="006F5607">
      <w:pPr>
        <w:pStyle w:val="newsshowstyle"/>
        <w:tabs>
          <w:tab w:val="left" w:pos="7371"/>
        </w:tabs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финансовая деятельность                                    - 186 человек,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гостиницы и рестораны                    </w:t>
      </w:r>
      <w:r w:rsidRPr="000E15E7">
        <w:rPr>
          <w:bCs/>
          <w:iCs/>
          <w:sz w:val="28"/>
          <w:szCs w:val="20"/>
        </w:rPr>
        <w:tab/>
        <w:t xml:space="preserve">              - </w:t>
      </w:r>
      <w:r w:rsidR="006F5607" w:rsidRPr="000E15E7">
        <w:rPr>
          <w:bCs/>
          <w:iCs/>
          <w:sz w:val="28"/>
          <w:szCs w:val="20"/>
        </w:rPr>
        <w:t>174</w:t>
      </w:r>
      <w:r w:rsidRPr="000E15E7">
        <w:rPr>
          <w:bCs/>
          <w:iCs/>
          <w:sz w:val="28"/>
          <w:szCs w:val="20"/>
        </w:rPr>
        <w:t xml:space="preserve"> человек</w:t>
      </w:r>
      <w:r w:rsidR="006F5607" w:rsidRPr="000E15E7">
        <w:rPr>
          <w:bCs/>
          <w:iCs/>
          <w:sz w:val="28"/>
          <w:szCs w:val="20"/>
        </w:rPr>
        <w:t>а</w:t>
      </w:r>
      <w:r w:rsidRPr="000E15E7">
        <w:rPr>
          <w:bCs/>
          <w:iCs/>
          <w:sz w:val="28"/>
          <w:szCs w:val="20"/>
        </w:rPr>
        <w:t>,</w:t>
      </w:r>
    </w:p>
    <w:p w:rsidR="00B350A7" w:rsidRPr="000E15E7" w:rsidRDefault="00B350A7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оптовая и розничная торговля                             - 142 человека,</w:t>
      </w:r>
    </w:p>
    <w:p w:rsidR="00525274" w:rsidRPr="000E15E7" w:rsidRDefault="00525274" w:rsidP="00525274">
      <w:pPr>
        <w:pStyle w:val="newsshowstyle"/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sym w:font="Symbol" w:char="F0B7"/>
      </w:r>
      <w:r w:rsidRPr="000E15E7">
        <w:rPr>
          <w:bCs/>
          <w:iCs/>
          <w:sz w:val="28"/>
          <w:szCs w:val="20"/>
        </w:rPr>
        <w:t xml:space="preserve">   предоставление прочих коммунальных, </w:t>
      </w:r>
    </w:p>
    <w:p w:rsidR="00525274" w:rsidRPr="000E15E7" w:rsidRDefault="00525274" w:rsidP="00275160">
      <w:pPr>
        <w:pStyle w:val="newsshowstyle"/>
        <w:tabs>
          <w:tab w:val="left" w:pos="7371"/>
        </w:tabs>
        <w:spacing w:before="0" w:beforeAutospacing="0" w:after="0" w:afterAutospacing="0"/>
        <w:ind w:left="708" w:firstLine="708"/>
        <w:jc w:val="both"/>
        <w:rPr>
          <w:bCs/>
          <w:iCs/>
          <w:sz w:val="28"/>
          <w:szCs w:val="20"/>
        </w:rPr>
      </w:pPr>
      <w:r w:rsidRPr="000E15E7">
        <w:rPr>
          <w:bCs/>
          <w:iCs/>
          <w:sz w:val="28"/>
          <w:szCs w:val="20"/>
        </w:rPr>
        <w:t xml:space="preserve">     социальных и персональных услуг                     - </w:t>
      </w:r>
      <w:r w:rsidR="006F5607" w:rsidRPr="000E15E7">
        <w:rPr>
          <w:bCs/>
          <w:iCs/>
          <w:sz w:val="28"/>
          <w:szCs w:val="20"/>
        </w:rPr>
        <w:t>112</w:t>
      </w:r>
      <w:r w:rsidRPr="000E15E7">
        <w:rPr>
          <w:bCs/>
          <w:iCs/>
          <w:sz w:val="28"/>
          <w:szCs w:val="20"/>
        </w:rPr>
        <w:t xml:space="preserve"> человек.     </w:t>
      </w:r>
    </w:p>
    <w:p w:rsidR="00525274" w:rsidRPr="001A0528" w:rsidRDefault="00525274" w:rsidP="00525274">
      <w:pPr>
        <w:tabs>
          <w:tab w:val="left" w:pos="851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5A204E" w:rsidRPr="00B93A1A" w:rsidRDefault="00525274" w:rsidP="005A20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Уровень зарегистрированной безработицы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конец </w:t>
      </w:r>
      <w:r w:rsidR="00661208"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1208"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2016 года составил </w:t>
      </w:r>
      <w:r w:rsidRPr="00B93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1,</w:t>
      </w:r>
      <w:r w:rsidR="00661208" w:rsidRPr="00B93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B93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%,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что на 0,</w:t>
      </w:r>
      <w:r w:rsidR="00661208"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процентных пункта выше соответствующего периода 2015 года.</w:t>
      </w:r>
    </w:p>
    <w:p w:rsidR="00525274" w:rsidRPr="00B93A1A" w:rsidRDefault="00525274" w:rsidP="005A20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9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граждан, поставленных на регистрационный учет в качестве ищущих работу, составила </w:t>
      </w:r>
      <w:r w:rsidR="00B93A1A" w:rsidRPr="00B93A1A">
        <w:rPr>
          <w:rFonts w:ascii="Times New Roman" w:eastAsia="Times New Roman" w:hAnsi="Times New Roman" w:cs="Times New Roman"/>
          <w:sz w:val="28"/>
          <w:szCs w:val="28"/>
          <w:lang w:eastAsia="ru-RU"/>
        </w:rPr>
        <w:t>17 951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или 44,</w:t>
      </w:r>
      <w:r w:rsidR="00B93A1A" w:rsidRPr="00B93A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лиц, обратившихся в службу занятости.</w:t>
      </w:r>
    </w:p>
    <w:p w:rsidR="00525274" w:rsidRPr="00B314A6" w:rsidRDefault="00525274" w:rsidP="00525274">
      <w:pPr>
        <w:keepNext/>
        <w:keepLines/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По состоянию на 01.</w:t>
      </w:r>
      <w:r w:rsidR="00B72CF8"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B72CF8"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городе Кемерово зарегистрировано </w:t>
      </w:r>
      <w:r w:rsidR="00B72CF8" w:rsidRPr="00B72C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5 315</w:t>
      </w:r>
      <w:r w:rsidRPr="00B72C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безработных граждан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что на </w:t>
      </w:r>
      <w:r w:rsidR="00B72CF8"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8,9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больше, чем на 01.</w:t>
      </w:r>
      <w:r w:rsidR="00B72CF8"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B72CF8"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B7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по 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безработице получают </w:t>
      </w:r>
      <w:r w:rsidR="00B72CF8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4 504 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72CF8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2CF8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безработных).</w:t>
      </w:r>
    </w:p>
    <w:p w:rsidR="00525274" w:rsidRPr="00B314A6" w:rsidRDefault="006C7A49" w:rsidP="00525274">
      <w:pPr>
        <w:keepNext/>
        <w:keepLines/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города Кемерово подали сведения в </w:t>
      </w:r>
      <w:r w:rsidR="005A204E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увольнении </w:t>
      </w:r>
      <w:r w:rsidR="00B314A6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4 569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связи с сокращением штата.</w:t>
      </w:r>
    </w:p>
    <w:p w:rsidR="00525274" w:rsidRPr="001F1324" w:rsidRDefault="00B314A6" w:rsidP="00525274">
      <w:pPr>
        <w:keepNext/>
        <w:keepLines/>
        <w:widowControl w:val="0"/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службу занятости обратились </w:t>
      </w:r>
      <w:r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1 378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сокращенны</w:t>
      </w:r>
      <w:r w:rsidR="002073BA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5274" w:rsidRPr="00B3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периоде. 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состо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высвобожденных 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31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13,0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состоящих на учете (5 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>651</w:t>
      </w:r>
      <w:r w:rsidR="00525274" w:rsidRPr="001F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525274" w:rsidRPr="001F1324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Заявленная работодателями потребность в работниках 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составила 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21 392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вакансии (2015 год – 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21 726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вакансий), из них 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65,6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– вакансии по рабочим профессиям (2015 год – </w:t>
      </w:r>
      <w:r w:rsidR="001F1324"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>68,0</w:t>
      </w:r>
      <w:r w:rsidRPr="001F13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%).</w:t>
      </w:r>
      <w:r w:rsidRPr="001F1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74" w:rsidRPr="00227209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272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Коэффициент напряженности 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состоянию на 01.0</w:t>
      </w:r>
      <w:r w:rsidR="00227209"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227209"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227209" w:rsidRPr="002272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0,78</w:t>
      </w:r>
      <w:r w:rsidRPr="002272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человека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1 вакансию (</w:t>
      </w:r>
      <w:r w:rsid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01.01.2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 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227209"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1,04</w:t>
      </w:r>
      <w:r w:rsidRPr="00227209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5A204E" w:rsidRPr="002C169D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C67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Доля безработных, нашедших работу, от численности безработных граждан, снятых с учета по 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всем основаниям, составила </w:t>
      </w:r>
      <w:r w:rsidR="004C679F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52,7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="005A204E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25274" w:rsidRPr="007802E2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временные работы трудоустроено </w:t>
      </w:r>
      <w:r w:rsidR="00C759F6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1 778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23E18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учащихся, желающих работать в свободное от учебы время, 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выпускник</w:t>
      </w:r>
      <w:r w:rsidR="00B23E18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учреждений начального и среднего профессионального образования в возрасте от 18 до 20 лет, ищущих работу впервые</w:t>
      </w:r>
      <w:r w:rsidR="005A204E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(2015 год – </w:t>
      </w:r>
      <w:r w:rsidR="00B23E18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1 201</w:t>
      </w:r>
      <w:r w:rsidR="005A204E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Численность граждан, принимавших участие в оплачиваемых общественных работах, составила </w:t>
      </w:r>
      <w:r w:rsidR="00B23E18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48</w:t>
      </w:r>
      <w:r w:rsidR="002C169D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2C169D"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C169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из них 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2C169D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,0 % - безработные граждане. </w:t>
      </w:r>
    </w:p>
    <w:p w:rsidR="00525274" w:rsidRPr="007802E2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временные работы по специальной программе, предусмотренной для испытывающих трудности в поиске работы, трудоустроено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83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25274" w:rsidRPr="007802E2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Уменьшить профессионально-квалификационный дисбаланс на рынке труда помогает профессиональное обучение и профессиональная ориентация.</w:t>
      </w:r>
    </w:p>
    <w:p w:rsidR="00525274" w:rsidRPr="007802E2" w:rsidRDefault="00525274" w:rsidP="00525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профессиональное обучение, переобучение и повышение квалификации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аправлено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 уровня годичной давности. Профориентационные услуги получили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6 857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2015 год –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5 768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человек)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4 174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– 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2015 год – 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4 142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7802E2"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780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958" w:rsidRPr="00E72964" w:rsidRDefault="00081958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478641574"/>
      <w:r w:rsidRPr="00E72964">
        <w:rPr>
          <w:rFonts w:ascii="Times New Roman" w:hAnsi="Times New Roman" w:cs="Times New Roman"/>
          <w:b/>
          <w:color w:val="auto"/>
        </w:rPr>
        <w:t>УРОВЕНЬ ЖИЗНИ НАСЕЛЕНИЯ</w:t>
      </w:r>
      <w:bookmarkEnd w:id="4"/>
    </w:p>
    <w:p w:rsidR="00622F65" w:rsidRPr="00D654D0" w:rsidRDefault="00622F65" w:rsidP="0062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(предварительные данные по состоянию на </w:t>
      </w:r>
      <w:r w:rsidR="00E72964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20.02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.201</w:t>
      </w:r>
      <w:r w:rsidR="00E72964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</w:p>
    <w:p w:rsidR="00622F65" w:rsidRPr="00D654D0" w:rsidRDefault="00622F65" w:rsidP="00622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22F65" w:rsidRDefault="00622F65" w:rsidP="0062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В городе Кемерово</w:t>
      </w:r>
      <w:r w:rsidRPr="00D654D0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с</w:t>
      </w:r>
      <w:proofErr w:type="spellStart"/>
      <w:r w:rsidRPr="00D654D0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реднемесячные</w:t>
      </w:r>
      <w:proofErr w:type="spellEnd"/>
      <w:r w:rsidRPr="00D654D0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номинальные денежные доходы 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душу населения 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04076D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по предварительным данным,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составили 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24 574,1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рубл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что на </w:t>
      </w:r>
      <w:r w:rsidR="00E557CD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0,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больше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чем 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2015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Реально располагаемые доходы населения </w:t>
      </w:r>
      <w:r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снизились 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r w:rsidR="00D654D0" w:rsidRPr="00D654D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5,1 </w:t>
      </w:r>
      <w:r w:rsidRPr="00D654D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7D79D8" w:rsidRPr="00D654D0" w:rsidRDefault="007D79D8" w:rsidP="0062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По предварительным данным за 2016 год с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реднемесячная заработная плата работников</w:t>
      </w:r>
      <w:r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в целом по городу составила 30 878,0 рублей, что на 4,4 % выше уровня 2015 года, однако реальная заработная плата (с учетом индекса потребительских цен) снизилась на 2,3 %.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1292"/>
        <w:gridCol w:w="1470"/>
        <w:gridCol w:w="1559"/>
      </w:tblGrid>
      <w:tr w:rsidR="00117A41" w:rsidRPr="00117A41" w:rsidTr="009B4040">
        <w:trPr>
          <w:tblHeader/>
          <w:jc w:val="center"/>
        </w:trPr>
        <w:tc>
          <w:tcPr>
            <w:tcW w:w="5880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292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70" w:type="dxa"/>
            <w:vAlign w:val="center"/>
          </w:tcPr>
          <w:p w:rsidR="00622F65" w:rsidRPr="00117A41" w:rsidRDefault="00622F65" w:rsidP="00E7296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622F65" w:rsidRPr="00117A41" w:rsidRDefault="00622F65" w:rsidP="00E7296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117A41" w:rsidRPr="00117A41" w:rsidTr="009B4040">
        <w:trPr>
          <w:jc w:val="center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Среднемесячные номинальные денежные доходы</w:t>
            </w:r>
          </w:p>
        </w:tc>
        <w:tc>
          <w:tcPr>
            <w:tcW w:w="1292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0" w:type="dxa"/>
            <w:vAlign w:val="center"/>
          </w:tcPr>
          <w:p w:rsidR="00622F65" w:rsidRPr="00117A41" w:rsidRDefault="00117A41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24 396,0</w:t>
            </w:r>
          </w:p>
        </w:tc>
        <w:tc>
          <w:tcPr>
            <w:tcW w:w="1559" w:type="dxa"/>
            <w:vAlign w:val="center"/>
          </w:tcPr>
          <w:p w:rsidR="00622F65" w:rsidRPr="00117A41" w:rsidRDefault="00DC15FA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24 574,1</w:t>
            </w:r>
          </w:p>
        </w:tc>
      </w:tr>
      <w:tr w:rsidR="00117A41" w:rsidRPr="00117A41" w:rsidTr="009B4040">
        <w:trPr>
          <w:jc w:val="center"/>
        </w:trPr>
        <w:tc>
          <w:tcPr>
            <w:tcW w:w="5880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располагаемые доходы населения</w:t>
            </w:r>
          </w:p>
        </w:tc>
        <w:tc>
          <w:tcPr>
            <w:tcW w:w="1292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0" w:type="dxa"/>
            <w:vAlign w:val="center"/>
          </w:tcPr>
          <w:p w:rsidR="00622F65" w:rsidRPr="00117A41" w:rsidRDefault="00117A41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559" w:type="dxa"/>
            <w:vAlign w:val="center"/>
          </w:tcPr>
          <w:p w:rsidR="00622F65" w:rsidRPr="00117A41" w:rsidRDefault="00DC15FA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117A41" w:rsidRPr="00117A41" w:rsidTr="009B4040">
        <w:trPr>
          <w:jc w:val="center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по крупным и средним предприятиям</w:t>
            </w:r>
          </w:p>
        </w:tc>
        <w:tc>
          <w:tcPr>
            <w:tcW w:w="1292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0" w:type="dxa"/>
            <w:vAlign w:val="center"/>
          </w:tcPr>
          <w:p w:rsidR="00622F65" w:rsidRPr="00117A41" w:rsidRDefault="00E72964" w:rsidP="00500B2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50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529,3</w:t>
            </w:r>
          </w:p>
        </w:tc>
        <w:tc>
          <w:tcPr>
            <w:tcW w:w="1559" w:type="dxa"/>
            <w:vAlign w:val="center"/>
          </w:tcPr>
          <w:p w:rsidR="00622F65" w:rsidRPr="00117A41" w:rsidRDefault="00500B29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36 310,7</w:t>
            </w:r>
          </w:p>
        </w:tc>
      </w:tr>
      <w:tr w:rsidR="00117A41" w:rsidRPr="00117A41" w:rsidTr="009B4040">
        <w:trPr>
          <w:jc w:val="center"/>
        </w:trPr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Реальная заработная плата по крупным и средним предприятиям</w:t>
            </w:r>
          </w:p>
        </w:tc>
        <w:tc>
          <w:tcPr>
            <w:tcW w:w="1292" w:type="dxa"/>
            <w:vAlign w:val="center"/>
          </w:tcPr>
          <w:p w:rsidR="00622F65" w:rsidRPr="00117A41" w:rsidRDefault="00622F65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0" w:type="dxa"/>
            <w:vAlign w:val="center"/>
          </w:tcPr>
          <w:p w:rsidR="00622F65" w:rsidRPr="00117A41" w:rsidRDefault="00200B13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559" w:type="dxa"/>
            <w:vAlign w:val="center"/>
          </w:tcPr>
          <w:p w:rsidR="00622F65" w:rsidRPr="00117A41" w:rsidRDefault="00500B29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</w:tbl>
    <w:p w:rsidR="00622F65" w:rsidRPr="0038709F" w:rsidRDefault="00622F65" w:rsidP="00622F65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0"/>
          <w:lang w:eastAsia="ru-RU"/>
        </w:rPr>
      </w:pPr>
    </w:p>
    <w:p w:rsidR="00622F65" w:rsidRPr="0079684D" w:rsidRDefault="00622F65" w:rsidP="00622F65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bookmarkStart w:id="5" w:name="_Toc460405396"/>
      <w:bookmarkStart w:id="6" w:name="_Toc478641575"/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Среднемесячная заработная плата работников крупных и средних предприятий города в номинальном выражении в отчетном периоде по сравнению с 2015 год</w:t>
      </w:r>
      <w:r w:rsidR="0079684D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ом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выросла на </w:t>
      </w:r>
      <w:r w:rsidR="0079684D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5,</w:t>
      </w:r>
      <w:r w:rsidR="00500B2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% и составила </w:t>
      </w:r>
      <w:r w:rsidR="0079684D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36</w:t>
      </w:r>
      <w:r w:rsidR="00500B2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 310,7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рубл</w:t>
      </w:r>
      <w:r w:rsidR="00E70BD0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я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. Вместе с тем, опережающий темп роста индекса потребительских цен способствовал снижению реальной среднемесячной заработной платы на </w:t>
      </w:r>
      <w:r w:rsidR="0079684D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1,</w:t>
      </w:r>
      <w:r w:rsidR="00500B2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6</w:t>
      </w:r>
      <w:r w:rsidR="00E70BD0"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%.</w:t>
      </w:r>
      <w:bookmarkEnd w:id="5"/>
      <w:bookmarkEnd w:id="6"/>
      <w:r w:rsidRPr="0079684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</w:p>
    <w:p w:rsidR="00622F65" w:rsidRPr="0038709F" w:rsidRDefault="00622F65" w:rsidP="00622F65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0"/>
          <w:lang w:eastAsia="ru-RU"/>
        </w:rPr>
      </w:pPr>
      <w:bookmarkStart w:id="7" w:name="_Toc460405397"/>
      <w:bookmarkStart w:id="8" w:name="_Toc478641576"/>
      <w:r w:rsidRPr="0038709F">
        <w:rPr>
          <w:rFonts w:ascii="Times New Roman" w:eastAsia="Times New Roman" w:hAnsi="Times New Roman" w:cs="Times New Roman"/>
          <w:b/>
          <w:bCs/>
          <w:iCs/>
          <w:noProof/>
          <w:color w:val="FF0000"/>
          <w:sz w:val="28"/>
          <w:szCs w:val="28"/>
          <w:lang w:eastAsia="ru-RU"/>
        </w:rPr>
        <w:drawing>
          <wp:inline distT="0" distB="0" distL="0" distR="0" wp14:anchorId="23E188AB" wp14:editId="1E44DE37">
            <wp:extent cx="5981700" cy="39243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7"/>
      <w:bookmarkEnd w:id="8"/>
    </w:p>
    <w:p w:rsidR="00622F65" w:rsidRPr="00560D31" w:rsidRDefault="00F73A88" w:rsidP="00622F6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0"/>
          <w:lang w:eastAsia="x-none"/>
        </w:rPr>
      </w:pPr>
      <w:r w:rsidRPr="00560D3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>36</w:t>
      </w:r>
      <w:r w:rsidR="00500B29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> 310,7</w:t>
      </w:r>
      <w:r w:rsidR="00622F65" w:rsidRPr="00560D3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 xml:space="preserve"> рубл</w:t>
      </w:r>
      <w:r w:rsidR="00412C65" w:rsidRPr="00560D3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>я</w:t>
      </w:r>
      <w:r w:rsidR="00622F65" w:rsidRPr="00560D31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x-none"/>
        </w:rPr>
        <w:t xml:space="preserve"> средняя </w:t>
      </w:r>
      <w:r w:rsidR="00622F65" w:rsidRPr="00560D31">
        <w:rPr>
          <w:rFonts w:ascii="Times New Roman" w:eastAsia="Times New Roman" w:hAnsi="Times New Roman" w:cs="Times New Roman"/>
          <w:bCs/>
          <w:iCs/>
          <w:sz w:val="28"/>
          <w:szCs w:val="20"/>
          <w:lang w:eastAsia="x-none"/>
        </w:rPr>
        <w:t xml:space="preserve">по крупным </w:t>
      </w:r>
    </w:p>
    <w:p w:rsidR="00622F65" w:rsidRPr="00560D31" w:rsidRDefault="00622F65" w:rsidP="00622F6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0"/>
          <w:lang w:eastAsia="x-none"/>
        </w:rPr>
      </w:pPr>
      <w:r w:rsidRPr="00560D31">
        <w:rPr>
          <w:rFonts w:ascii="Times New Roman" w:eastAsia="Times New Roman" w:hAnsi="Times New Roman" w:cs="Times New Roman"/>
          <w:bCs/>
          <w:iCs/>
          <w:sz w:val="28"/>
          <w:szCs w:val="20"/>
          <w:lang w:eastAsia="x-none"/>
        </w:rPr>
        <w:t>и средним предприятиям города</w:t>
      </w:r>
    </w:p>
    <w:p w:rsidR="00622F65" w:rsidRPr="00D20742" w:rsidRDefault="00622F65" w:rsidP="00622F65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622F65" w:rsidRPr="00D20742" w:rsidRDefault="00622F65" w:rsidP="00622F65">
      <w:pPr>
        <w:pStyle w:val="af"/>
        <w:ind w:firstLine="720"/>
        <w:jc w:val="both"/>
        <w:rPr>
          <w:b w:val="0"/>
          <w:bCs/>
          <w:iCs/>
          <w:sz w:val="28"/>
        </w:rPr>
      </w:pPr>
      <w:r w:rsidRPr="00D20742">
        <w:rPr>
          <w:b w:val="0"/>
          <w:bCs/>
          <w:iCs/>
          <w:sz w:val="28"/>
        </w:rPr>
        <w:t>В сфере промышленного производства, где заняты 19,</w:t>
      </w:r>
      <w:r w:rsidR="0096322C">
        <w:rPr>
          <w:b w:val="0"/>
          <w:bCs/>
          <w:iCs/>
          <w:sz w:val="28"/>
        </w:rPr>
        <w:t>1</w:t>
      </w:r>
      <w:r w:rsidR="00412C65" w:rsidRPr="00D20742">
        <w:rPr>
          <w:b w:val="0"/>
          <w:bCs/>
          <w:iCs/>
          <w:sz w:val="28"/>
        </w:rPr>
        <w:t xml:space="preserve"> </w:t>
      </w:r>
      <w:r w:rsidRPr="00D20742">
        <w:rPr>
          <w:b w:val="0"/>
          <w:bCs/>
          <w:iCs/>
          <w:sz w:val="28"/>
        </w:rPr>
        <w:t xml:space="preserve">% от общей численности работников крупных и средних предприятий, среднемесячная заработная плата </w:t>
      </w:r>
      <w:r w:rsidR="00D20742" w:rsidRPr="00D20742">
        <w:rPr>
          <w:b w:val="0"/>
          <w:bCs/>
          <w:iCs/>
          <w:sz w:val="28"/>
        </w:rPr>
        <w:t>в</w:t>
      </w:r>
      <w:r w:rsidRPr="00D20742">
        <w:rPr>
          <w:b w:val="0"/>
          <w:bCs/>
          <w:iCs/>
          <w:sz w:val="28"/>
        </w:rPr>
        <w:t xml:space="preserve"> 2016 год</w:t>
      </w:r>
      <w:r w:rsidR="00D20742" w:rsidRPr="00D20742">
        <w:rPr>
          <w:b w:val="0"/>
          <w:bCs/>
          <w:iCs/>
          <w:sz w:val="28"/>
        </w:rPr>
        <w:t>у</w:t>
      </w:r>
      <w:r w:rsidRPr="00D20742">
        <w:rPr>
          <w:b w:val="0"/>
          <w:bCs/>
          <w:iCs/>
          <w:sz w:val="28"/>
        </w:rPr>
        <w:t xml:space="preserve"> составила </w:t>
      </w:r>
      <w:r w:rsidR="00D20742" w:rsidRPr="00D20742">
        <w:rPr>
          <w:b w:val="0"/>
          <w:bCs/>
          <w:iCs/>
          <w:sz w:val="28"/>
        </w:rPr>
        <w:t>41 073,7</w:t>
      </w:r>
      <w:r w:rsidRPr="00D20742">
        <w:rPr>
          <w:b w:val="0"/>
          <w:bCs/>
          <w:iCs/>
          <w:sz w:val="28"/>
        </w:rPr>
        <w:t xml:space="preserve"> рубл</w:t>
      </w:r>
      <w:r w:rsidR="00D20742" w:rsidRPr="00D20742">
        <w:rPr>
          <w:b w:val="0"/>
          <w:bCs/>
          <w:iCs/>
          <w:sz w:val="28"/>
        </w:rPr>
        <w:t>я</w:t>
      </w:r>
      <w:r w:rsidRPr="00D20742">
        <w:rPr>
          <w:b w:val="0"/>
          <w:bCs/>
          <w:iCs/>
          <w:sz w:val="28"/>
        </w:rPr>
        <w:t>, или</w:t>
      </w:r>
      <w:r w:rsidR="00412C65" w:rsidRPr="00D20742">
        <w:rPr>
          <w:b w:val="0"/>
          <w:bCs/>
          <w:iCs/>
          <w:sz w:val="28"/>
        </w:rPr>
        <w:t xml:space="preserve"> </w:t>
      </w:r>
      <w:r w:rsidR="00D20742" w:rsidRPr="00D20742">
        <w:rPr>
          <w:b w:val="0"/>
          <w:bCs/>
          <w:iCs/>
          <w:sz w:val="28"/>
        </w:rPr>
        <w:t>107,1</w:t>
      </w:r>
      <w:r w:rsidR="00412C65" w:rsidRPr="00D20742">
        <w:rPr>
          <w:b w:val="0"/>
          <w:bCs/>
          <w:iCs/>
          <w:sz w:val="28"/>
        </w:rPr>
        <w:t xml:space="preserve"> </w:t>
      </w:r>
      <w:r w:rsidRPr="00D20742">
        <w:rPr>
          <w:b w:val="0"/>
          <w:bCs/>
          <w:iCs/>
          <w:sz w:val="28"/>
        </w:rPr>
        <w:t>% к уровню 2015 года.</w:t>
      </w:r>
    </w:p>
    <w:p w:rsidR="00622F65" w:rsidRPr="00E67181" w:rsidRDefault="00622F65" w:rsidP="00622F65">
      <w:pPr>
        <w:pStyle w:val="newsshowstyle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E67181">
        <w:rPr>
          <w:bCs/>
          <w:sz w:val="28"/>
          <w:szCs w:val="28"/>
        </w:rPr>
        <w:t xml:space="preserve">В бюджетной сфере заработная плата работающих увеличилась в среднем на </w:t>
      </w:r>
      <w:r w:rsidR="00D20742" w:rsidRPr="00E67181">
        <w:rPr>
          <w:bCs/>
          <w:sz w:val="28"/>
          <w:szCs w:val="28"/>
        </w:rPr>
        <w:t>2,6</w:t>
      </w:r>
      <w:r w:rsidR="00412C65" w:rsidRPr="00E67181">
        <w:rPr>
          <w:bCs/>
          <w:sz w:val="28"/>
          <w:szCs w:val="28"/>
        </w:rPr>
        <w:t xml:space="preserve"> </w:t>
      </w:r>
      <w:r w:rsidRPr="00E67181">
        <w:rPr>
          <w:bCs/>
          <w:sz w:val="28"/>
          <w:szCs w:val="28"/>
        </w:rPr>
        <w:t xml:space="preserve">% и составила </w:t>
      </w:r>
      <w:r w:rsidR="00D20742" w:rsidRPr="00E67181">
        <w:rPr>
          <w:bCs/>
          <w:sz w:val="28"/>
          <w:szCs w:val="28"/>
        </w:rPr>
        <w:t>28 106,3</w:t>
      </w:r>
      <w:r w:rsidRPr="00E67181">
        <w:rPr>
          <w:bCs/>
          <w:sz w:val="28"/>
          <w:szCs w:val="28"/>
        </w:rPr>
        <w:t xml:space="preserve"> рубл</w:t>
      </w:r>
      <w:r w:rsidR="00412C65" w:rsidRPr="00E67181">
        <w:rPr>
          <w:bCs/>
          <w:sz w:val="28"/>
          <w:szCs w:val="28"/>
        </w:rPr>
        <w:t>я</w:t>
      </w:r>
      <w:r w:rsidRPr="00E67181">
        <w:rPr>
          <w:bCs/>
          <w:sz w:val="28"/>
          <w:szCs w:val="28"/>
        </w:rPr>
        <w:t xml:space="preserve">. </w:t>
      </w:r>
    </w:p>
    <w:p w:rsidR="00622F65" w:rsidRPr="00E67181" w:rsidRDefault="00622F65" w:rsidP="00622F65">
      <w:pPr>
        <w:pStyle w:val="af"/>
        <w:ind w:firstLine="720"/>
        <w:jc w:val="both"/>
        <w:rPr>
          <w:b w:val="0"/>
          <w:bCs/>
          <w:iCs/>
          <w:sz w:val="28"/>
        </w:rPr>
      </w:pPr>
      <w:r w:rsidRPr="00E67181">
        <w:rPr>
          <w:b w:val="0"/>
          <w:bCs/>
          <w:iCs/>
          <w:sz w:val="28"/>
        </w:rPr>
        <w:t xml:space="preserve">За отчетный период заработная плата по виду экономической деятельности «добыча полезных ископаемых» является самой высокой среди </w:t>
      </w:r>
      <w:r w:rsidRPr="00E67181">
        <w:rPr>
          <w:b w:val="0"/>
          <w:bCs/>
          <w:iCs/>
          <w:sz w:val="28"/>
        </w:rPr>
        <w:lastRenderedPageBreak/>
        <w:t xml:space="preserve">наблюдаемых видов экономической деятельности, размер ее достиг </w:t>
      </w:r>
      <w:r w:rsidR="00E67181" w:rsidRPr="00E67181">
        <w:rPr>
          <w:b w:val="0"/>
          <w:bCs/>
          <w:iCs/>
          <w:sz w:val="28"/>
        </w:rPr>
        <w:t xml:space="preserve">                      99 277,2</w:t>
      </w:r>
      <w:r w:rsidRPr="00E67181">
        <w:rPr>
          <w:b w:val="0"/>
          <w:bCs/>
          <w:iCs/>
          <w:sz w:val="28"/>
        </w:rPr>
        <w:t xml:space="preserve"> рубля. </w:t>
      </w:r>
    </w:p>
    <w:p w:rsidR="00622F65" w:rsidRPr="00E67181" w:rsidRDefault="00622F65" w:rsidP="00622F65">
      <w:pPr>
        <w:pStyle w:val="af"/>
        <w:ind w:firstLine="720"/>
        <w:jc w:val="both"/>
        <w:rPr>
          <w:b w:val="0"/>
          <w:bCs/>
          <w:iCs/>
          <w:sz w:val="28"/>
        </w:rPr>
      </w:pPr>
      <w:r w:rsidRPr="00E67181">
        <w:rPr>
          <w:b w:val="0"/>
          <w:bCs/>
          <w:iCs/>
          <w:sz w:val="28"/>
        </w:rPr>
        <w:t xml:space="preserve">В аутсайдерах по уровню заработной платы традиционно находится вид экономической деятельности «гостиницы и рестораны», </w:t>
      </w:r>
      <w:r w:rsidR="00E67181" w:rsidRPr="00E67181">
        <w:rPr>
          <w:b w:val="0"/>
          <w:bCs/>
          <w:iCs/>
          <w:sz w:val="28"/>
        </w:rPr>
        <w:t>15 828,7</w:t>
      </w:r>
      <w:r w:rsidRPr="00E67181">
        <w:rPr>
          <w:b w:val="0"/>
          <w:bCs/>
          <w:iCs/>
          <w:sz w:val="28"/>
        </w:rPr>
        <w:t xml:space="preserve"> рубл</w:t>
      </w:r>
      <w:r w:rsidR="00412C65" w:rsidRPr="00E67181">
        <w:rPr>
          <w:b w:val="0"/>
          <w:bCs/>
          <w:iCs/>
          <w:sz w:val="28"/>
        </w:rPr>
        <w:t>я</w:t>
      </w:r>
      <w:r w:rsidRPr="00E67181">
        <w:rPr>
          <w:b w:val="0"/>
          <w:bCs/>
          <w:iCs/>
          <w:sz w:val="28"/>
        </w:rPr>
        <w:t>.</w:t>
      </w:r>
    </w:p>
    <w:p w:rsidR="00622F65" w:rsidRPr="00E67181" w:rsidRDefault="00622F65" w:rsidP="00622F65">
      <w:pPr>
        <w:pStyle w:val="af"/>
        <w:ind w:firstLine="720"/>
        <w:jc w:val="both"/>
        <w:rPr>
          <w:b w:val="0"/>
          <w:bCs/>
          <w:iCs/>
          <w:sz w:val="28"/>
        </w:rPr>
      </w:pPr>
      <w:r w:rsidRPr="00E67181">
        <w:rPr>
          <w:b w:val="0"/>
          <w:bCs/>
          <w:iCs/>
          <w:sz w:val="28"/>
        </w:rPr>
        <w:t xml:space="preserve">Разрыв между максимальной и минимальной величиной заработной платы по видам экономической деятельности за отчетный период составил </w:t>
      </w:r>
      <w:r w:rsidR="00731845" w:rsidRPr="00E67181">
        <w:rPr>
          <w:b w:val="0"/>
          <w:bCs/>
          <w:iCs/>
          <w:sz w:val="28"/>
        </w:rPr>
        <w:t xml:space="preserve">  </w:t>
      </w:r>
      <w:r w:rsidR="00E67181" w:rsidRPr="00E67181">
        <w:rPr>
          <w:b w:val="0"/>
          <w:bCs/>
          <w:iCs/>
          <w:sz w:val="28"/>
        </w:rPr>
        <w:t>6,3</w:t>
      </w:r>
      <w:r w:rsidRPr="00E67181">
        <w:rPr>
          <w:b w:val="0"/>
          <w:bCs/>
          <w:iCs/>
          <w:sz w:val="28"/>
        </w:rPr>
        <w:t xml:space="preserve"> раза (</w:t>
      </w:r>
      <w:r w:rsidR="00E67181" w:rsidRPr="00E67181">
        <w:rPr>
          <w:b w:val="0"/>
          <w:bCs/>
          <w:iCs/>
          <w:sz w:val="28"/>
        </w:rPr>
        <w:t xml:space="preserve">в </w:t>
      </w:r>
      <w:r w:rsidRPr="00E67181">
        <w:rPr>
          <w:b w:val="0"/>
          <w:bCs/>
          <w:iCs/>
          <w:sz w:val="28"/>
        </w:rPr>
        <w:t>2015 г</w:t>
      </w:r>
      <w:r w:rsidR="00731845" w:rsidRPr="00E67181">
        <w:rPr>
          <w:b w:val="0"/>
          <w:bCs/>
          <w:iCs/>
          <w:sz w:val="28"/>
        </w:rPr>
        <w:t>од</w:t>
      </w:r>
      <w:r w:rsidR="00E67181" w:rsidRPr="00E67181">
        <w:rPr>
          <w:b w:val="0"/>
          <w:bCs/>
          <w:iCs/>
          <w:sz w:val="28"/>
        </w:rPr>
        <w:t>у</w:t>
      </w:r>
      <w:r w:rsidRPr="00E67181">
        <w:rPr>
          <w:b w:val="0"/>
          <w:bCs/>
          <w:iCs/>
          <w:sz w:val="28"/>
        </w:rPr>
        <w:t xml:space="preserve"> – </w:t>
      </w:r>
      <w:r w:rsidR="00E67181" w:rsidRPr="00E67181">
        <w:rPr>
          <w:b w:val="0"/>
          <w:bCs/>
          <w:iCs/>
          <w:sz w:val="28"/>
        </w:rPr>
        <w:t>6,1</w:t>
      </w:r>
      <w:r w:rsidR="00731845" w:rsidRPr="00E67181">
        <w:rPr>
          <w:b w:val="0"/>
          <w:bCs/>
          <w:iCs/>
          <w:sz w:val="28"/>
        </w:rPr>
        <w:t xml:space="preserve"> раза</w:t>
      </w:r>
      <w:r w:rsidRPr="00E67181">
        <w:rPr>
          <w:b w:val="0"/>
          <w:bCs/>
          <w:iCs/>
          <w:sz w:val="28"/>
        </w:rPr>
        <w:t>).</w:t>
      </w:r>
    </w:p>
    <w:p w:rsidR="00622F65" w:rsidRPr="00B737BE" w:rsidRDefault="00622F65" w:rsidP="00622F65">
      <w:pPr>
        <w:pStyle w:val="af"/>
        <w:ind w:firstLine="720"/>
        <w:jc w:val="both"/>
        <w:rPr>
          <w:b w:val="0"/>
          <w:bCs/>
          <w:iCs/>
          <w:sz w:val="28"/>
        </w:rPr>
      </w:pPr>
      <w:r w:rsidRPr="00B737BE">
        <w:rPr>
          <w:b w:val="0"/>
          <w:bCs/>
          <w:iCs/>
          <w:sz w:val="28"/>
        </w:rPr>
        <w:t>Заработную плату выше средней по городу в 2016 год</w:t>
      </w:r>
      <w:r w:rsidR="00535BCB" w:rsidRPr="00B737BE">
        <w:rPr>
          <w:b w:val="0"/>
          <w:bCs/>
          <w:iCs/>
          <w:sz w:val="28"/>
        </w:rPr>
        <w:t>у</w:t>
      </w:r>
      <w:r w:rsidRPr="00B737BE">
        <w:rPr>
          <w:b w:val="0"/>
          <w:bCs/>
          <w:iCs/>
          <w:sz w:val="28"/>
        </w:rPr>
        <w:t xml:space="preserve"> получ</w:t>
      </w:r>
      <w:r w:rsidR="000F6DAD" w:rsidRPr="00B737BE">
        <w:rPr>
          <w:b w:val="0"/>
          <w:bCs/>
          <w:iCs/>
          <w:sz w:val="28"/>
        </w:rPr>
        <w:t>и</w:t>
      </w:r>
      <w:r w:rsidRPr="00B737BE">
        <w:rPr>
          <w:b w:val="0"/>
          <w:bCs/>
          <w:iCs/>
          <w:sz w:val="28"/>
        </w:rPr>
        <w:t xml:space="preserve">ли </w:t>
      </w:r>
      <w:r w:rsidR="005B4C0F" w:rsidRPr="00B737BE">
        <w:rPr>
          <w:b w:val="0"/>
          <w:bCs/>
          <w:iCs/>
          <w:sz w:val="28"/>
        </w:rPr>
        <w:t>38,9</w:t>
      </w:r>
      <w:r w:rsidR="000F6DAD" w:rsidRPr="00B737BE">
        <w:rPr>
          <w:b w:val="0"/>
          <w:bCs/>
          <w:iCs/>
          <w:sz w:val="28"/>
        </w:rPr>
        <w:t xml:space="preserve"> </w:t>
      </w:r>
      <w:r w:rsidRPr="00B737BE">
        <w:rPr>
          <w:b w:val="0"/>
          <w:bCs/>
          <w:iCs/>
          <w:sz w:val="28"/>
        </w:rPr>
        <w:t>% из общего числа работающих на крупных и средних предприятиях (2015 г</w:t>
      </w:r>
      <w:r w:rsidR="000F6DAD" w:rsidRPr="00B737BE">
        <w:rPr>
          <w:b w:val="0"/>
          <w:bCs/>
          <w:iCs/>
          <w:sz w:val="28"/>
        </w:rPr>
        <w:t>од</w:t>
      </w:r>
      <w:r w:rsidRPr="00B737BE">
        <w:rPr>
          <w:b w:val="0"/>
          <w:bCs/>
          <w:iCs/>
          <w:sz w:val="28"/>
        </w:rPr>
        <w:t xml:space="preserve"> – </w:t>
      </w:r>
      <w:r w:rsidR="00B737BE" w:rsidRPr="00B737BE">
        <w:rPr>
          <w:b w:val="0"/>
          <w:bCs/>
          <w:iCs/>
          <w:sz w:val="28"/>
        </w:rPr>
        <w:t>40,0</w:t>
      </w:r>
      <w:r w:rsidR="000F6DAD" w:rsidRPr="00B737BE">
        <w:rPr>
          <w:b w:val="0"/>
          <w:bCs/>
          <w:iCs/>
          <w:sz w:val="28"/>
        </w:rPr>
        <w:t xml:space="preserve"> </w:t>
      </w:r>
      <w:r w:rsidRPr="00B737BE">
        <w:rPr>
          <w:b w:val="0"/>
          <w:bCs/>
          <w:iCs/>
          <w:sz w:val="28"/>
        </w:rPr>
        <w:t xml:space="preserve">% по соответствующему кругу организаций).  </w:t>
      </w:r>
    </w:p>
    <w:p w:rsidR="00622F65" w:rsidRPr="000C16FB" w:rsidRDefault="00622F65" w:rsidP="00622F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По данным территориального органа Федеральной службы государственной статистики по Кемеровской области на 1 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января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201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7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года </w:t>
      </w:r>
      <w:r w:rsid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             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3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="000F6DAD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организации города </w:t>
      </w:r>
      <w:r w:rsidR="0096322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(</w:t>
      </w:r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Представительство ЗАО «АФК» в г. </w:t>
      </w:r>
      <w:proofErr w:type="gramStart"/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Кемерово,   </w:t>
      </w:r>
      <w:proofErr w:type="gramEnd"/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                      </w:t>
      </w:r>
      <w:r w:rsidR="000F6DAD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ООО «СУНЭТО» 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и ООО «</w:t>
      </w:r>
      <w:proofErr w:type="spellStart"/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Сибшахторудстрой</w:t>
      </w:r>
      <w:proofErr w:type="spellEnd"/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»</w:t>
      </w:r>
      <w:r w:rsidR="0096322C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)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имели задолженность по заработной плате перед 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118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работниками в </w:t>
      </w:r>
      <w:r w:rsidR="000F6DAD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размер</w:t>
      </w:r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е 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15 88</w:t>
      </w:r>
      <w:r w:rsidR="000C16FB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4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тыс. рублей. В расчете на одного работника просроченная заработная плата составила 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134 610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рубл</w:t>
      </w:r>
      <w:r w:rsidR="000E1497"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ей</w:t>
      </w:r>
      <w:r w:rsidRPr="000C16FB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. </w:t>
      </w:r>
    </w:p>
    <w:p w:rsidR="00A745BF" w:rsidRPr="00246CE1" w:rsidRDefault="00A745BF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9" w:name="_Toc478641577"/>
      <w:r w:rsidRPr="00246CE1">
        <w:rPr>
          <w:rFonts w:ascii="Times New Roman" w:hAnsi="Times New Roman" w:cs="Times New Roman"/>
          <w:b/>
          <w:color w:val="auto"/>
        </w:rPr>
        <w:t>ОБОРОТ ОРГАНИЗАЦИЙ</w:t>
      </w:r>
      <w:bookmarkEnd w:id="9"/>
    </w:p>
    <w:p w:rsidR="00A745BF" w:rsidRPr="00246CE1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45BF" w:rsidRPr="001C5DF0" w:rsidRDefault="00246CE1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6CE1">
        <w:rPr>
          <w:rFonts w:ascii="Times New Roman" w:eastAsia="Times New Roman" w:hAnsi="Times New Roman" w:cs="Times New Roman"/>
          <w:sz w:val="28"/>
          <w:szCs w:val="28"/>
          <w:lang w:eastAsia="x-none"/>
        </w:rPr>
        <w:t>За</w:t>
      </w:r>
      <w:r w:rsidR="00A745BF" w:rsidRPr="00246C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 w:rsidR="00D20FED" w:rsidRPr="00246CE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A745BF" w:rsidRPr="00246C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оборот крупных и средних организаци</w:t>
      </w:r>
      <w:r w:rsidR="0096322C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города в действующих ценах составил </w:t>
      </w: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443,6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млрд. рублей и увеличился по сравнению с 201</w:t>
      </w:r>
      <w:r w:rsidR="00D20FED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2,8</w:t>
      </w:r>
      <w:r w:rsidR="00A745BF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A745BF" w:rsidRPr="001C5DF0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Доля промышленных предприятий в экономическом обороте крупных и средних организаций остается наиболее существенной – </w:t>
      </w:r>
      <w:r w:rsidR="001C5DF0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47,4</w:t>
      </w: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A745BF" w:rsidRPr="001C5DF0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Доля торгующих организаций в обороте крупных и средних организаций города Кемерово составила </w:t>
      </w:r>
      <w:r w:rsidR="001C5DF0"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>39,7</w:t>
      </w:r>
      <w:r w:rsidRPr="001C5DF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A745BF" w:rsidRPr="001C5DF0" w:rsidRDefault="00A745BF" w:rsidP="00F67D4E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</w:rPr>
      </w:pPr>
      <w:bookmarkStart w:id="10" w:name="_Toc478641578"/>
      <w:r w:rsidRPr="001C5DF0">
        <w:rPr>
          <w:rFonts w:ascii="Times New Roman" w:hAnsi="Times New Roman" w:cs="Times New Roman"/>
          <w:b/>
          <w:color w:val="auto"/>
        </w:rPr>
        <w:t>ПРОМЫШЛЕННОЕ ПРОИЗВОДСТВО</w:t>
      </w:r>
      <w:bookmarkEnd w:id="10"/>
    </w:p>
    <w:p w:rsidR="00A745BF" w:rsidRPr="00CA3DA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257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Индекс промышленного производства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целом по городу за</w:t>
      </w:r>
      <w:r w:rsidR="005819F7"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1F76"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5819F7"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составил </w:t>
      </w:r>
      <w:r w:rsidR="00B12576" w:rsidRPr="00B1257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113,4</w:t>
      </w:r>
      <w:r w:rsidRPr="00B1257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(к уровню 201</w:t>
      </w:r>
      <w:r w:rsidR="005819F7"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года), что </w:t>
      </w:r>
      <w:r w:rsidR="0096322C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выше</w:t>
      </w:r>
      <w:r w:rsidRPr="00B1257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показателя по 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Кемеровской области (</w:t>
      </w:r>
      <w:r w:rsidR="00B12576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105,2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%). </w:t>
      </w:r>
    </w:p>
    <w:p w:rsidR="00A745BF" w:rsidRPr="00CA3DA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Объем отгруженных товаров собственного производства, выполненных работ и услуг собственными силами (всеми категориями производителей), по видам экономической деятельности, составил:</w:t>
      </w:r>
    </w:p>
    <w:p w:rsidR="00A745BF" w:rsidRPr="00CA3DA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• «добыча полезных ископаемых» </w:t>
      </w:r>
      <w:r w:rsidR="00642BD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1 745,0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что на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16,1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</w:t>
      </w:r>
      <w:r w:rsidR="003609E0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ниже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уровня 201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года;</w:t>
      </w:r>
    </w:p>
    <w:p w:rsidR="00A745BF" w:rsidRPr="00CA3DA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• «обрабатывающие производства» –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100 629</w:t>
      </w:r>
      <w:r w:rsidR="003609E0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что на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4,3</w:t>
      </w:r>
      <w:r w:rsidR="003609E0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выше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уровня 201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года;</w:t>
      </w:r>
    </w:p>
    <w:p w:rsidR="00A745BF" w:rsidRPr="00CA3DA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• «производство и распределение электроэнергии, газа и воды» –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26 640</w:t>
      </w:r>
      <w:r w:rsidR="003609E0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что на </w:t>
      </w:r>
      <w:r w:rsidR="00CA3DA2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16,0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выше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уровня 201</w:t>
      </w:r>
      <w:r w:rsidR="000D2ACB"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A3D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</w:p>
    <w:p w:rsidR="00A745BF" w:rsidRPr="0038709F" w:rsidRDefault="00FC3216" w:rsidP="003763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D61BD2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w:lastRenderedPageBreak/>
        <w:drawing>
          <wp:inline distT="0" distB="0" distL="0" distR="0" wp14:anchorId="1347A495" wp14:editId="3E8191B7">
            <wp:extent cx="5940425" cy="2791057"/>
            <wp:effectExtent l="0" t="0" r="3175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45BF" w:rsidRPr="00C741B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Объем отгруженных товаров собственного производства, выполненных работ и услуг собственными силами крупных и средних предприятий, составил </w:t>
      </w:r>
      <w:r w:rsidR="00C741B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117 624,7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</w:t>
      </w:r>
      <w:r w:rsidR="00AF3A91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ей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что на </w:t>
      </w:r>
      <w:r w:rsidR="00C741B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6,9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AF3A91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выше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уровня 201</w:t>
      </w:r>
      <w:r w:rsidR="00AF3A91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</w:p>
    <w:p w:rsidR="00A745BF" w:rsidRPr="00C741B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41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Индекс промышленного производства по крупным и средним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организациям города составил </w:t>
      </w:r>
      <w:r w:rsidR="00C741B6" w:rsidRPr="00C741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102,0</w:t>
      </w:r>
      <w:r w:rsidRPr="00C741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уровню 201</w:t>
      </w:r>
      <w:r w:rsidR="00C1250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в том числе:</w:t>
      </w:r>
    </w:p>
    <w:p w:rsidR="00A745BF" w:rsidRPr="00C741B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- добыча полезных ископаемых –</w:t>
      </w:r>
      <w:r w:rsidR="00781F7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741B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89,7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%;</w:t>
      </w:r>
    </w:p>
    <w:p w:rsidR="00A745BF" w:rsidRPr="00C741B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обрабатывающие производства – </w:t>
      </w:r>
      <w:r w:rsidR="00C741B6"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>101,2</w:t>
      </w:r>
      <w:r w:rsidRPr="00C741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%;</w:t>
      </w:r>
    </w:p>
    <w:p w:rsidR="00A745BF" w:rsidRPr="0025688D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производство и распределение электроэнергии, газа и воды – </w:t>
      </w:r>
      <w:r w:rsidR="00C741B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105,4</w:t>
      </w:r>
      <w:r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700626" w:rsidRPr="0025688D" w:rsidRDefault="0068371C" w:rsidP="00AE0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рост</w:t>
      </w:r>
      <w:r w:rsidR="00A745B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индекса по обрабатывающим производствам </w:t>
      </w:r>
      <w:r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повлияло</w:t>
      </w:r>
      <w:r w:rsidR="00A745B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главным образом, </w:t>
      </w:r>
      <w:r w:rsidR="0070193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увеличение 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подвид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ам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экономической деятельности «производство</w:t>
      </w:r>
      <w:r w:rsidR="00A745B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0193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кокса и нефтепродуктов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70193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3,7 %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(по сравнению с 2015 год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производство кокса возросло на 6,3 %)</w:t>
      </w:r>
      <w:r w:rsidR="0070193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химическо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о» – 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2,8 %, 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машин и оборудования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– 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31,6 %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735DB0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1,4 раза возросло 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сеялок тракторных</w:t>
      </w:r>
      <w:r w:rsidR="00735DB0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ООО «АГРО»)</w:t>
      </w:r>
      <w:r w:rsidR="006D4D8D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текстильно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швейно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о» – 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32,7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(производство готовых тканей возросло на 23,3 % и материалов нетканых – на 28,1 % </w:t>
      </w:r>
      <w:r w:rsidR="00FA35B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</w:t>
      </w:r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 «</w:t>
      </w:r>
      <w:proofErr w:type="spellStart"/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Сибур</w:t>
      </w:r>
      <w:proofErr w:type="spellEnd"/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Геосинт</w:t>
      </w:r>
      <w:proofErr w:type="spellEnd"/>
      <w:r w:rsidR="00836395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</w:t>
      </w:r>
      <w:r w:rsidR="00FA35B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почти в 2 раза увеличилось производство спецодежды, костюмов и комплектов, выпускаемых производственными цехами исправительных колоний № 5 и               № 29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  <w:r w:rsidR="00852D76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того, на формирование индекса промышленного производства повлияло сокращение по подвидам экономической деятельности «производство кожи, изделий из кожи и производство обуви» на 59,9 %, «производство прочих неметаллических минеральных продуктов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на 19,8 %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«обработка древесины и производств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изделий из дерева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на 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7,5</w:t>
      </w:r>
      <w:r w:rsidR="00D91258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«производство 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транспортных средств и оборудования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– 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6C5447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6,5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12587B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значительной степени обусловлено перепрофилированием деятельности «</w:t>
      </w:r>
      <w:r w:rsidR="005D51FF" w:rsidRPr="0025688D">
        <w:rPr>
          <w:rFonts w:ascii="Times New Roman" w:hAnsi="Times New Roman"/>
          <w:sz w:val="28"/>
          <w:szCs w:val="28"/>
        </w:rPr>
        <w:t>Кемеровский завод химического машиностроения» - филиал АО «Алтайвагон»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производства продукции вагоностроения на выпуск продукции химического машиностроения</w:t>
      </w:r>
      <w:r w:rsidR="0012587B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  <w:r w:rsidR="005D51FF" w:rsidRPr="00256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654852" w:rsidRPr="00E23B3B" w:rsidRDefault="00A745BF" w:rsidP="00AB2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3B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Индекс производства в химической отрасли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201</w:t>
      </w:r>
      <w:r w:rsidR="00407AF1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407AF1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E23B3B" w:rsidRPr="00E23B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102,8</w:t>
      </w:r>
      <w:r w:rsidRPr="00E23B3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 201</w:t>
      </w:r>
      <w:r w:rsidR="00407AF1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E23B3B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Эта отрасль остается базовой для города, на ее долю приходится </w:t>
      </w:r>
      <w:r w:rsidR="00E23B3B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>31,3</w:t>
      </w:r>
      <w:r w:rsidR="00407AF1"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23B3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всего промышленного производства. </w:t>
      </w:r>
    </w:p>
    <w:p w:rsidR="00A745BF" w:rsidRPr="00D26F17" w:rsidRDefault="00A745BF" w:rsidP="00AB2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Возросло производство 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тормозных жидкостей (в 2,1 раза), ам</w:t>
      </w:r>
      <w:r w:rsidR="0012587B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иака в водном растворе (в 1,9 раза), </w:t>
      </w:r>
      <w:r w:rsidR="00407AF1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полимеров 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кремнийорганических</w:t>
      </w:r>
      <w:r w:rsidR="00407AF1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первичных формах (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43,7 %</w:t>
      </w:r>
      <w:r w:rsidR="00407AF1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спиртов одноатомных (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20,5 %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диоксида углерода (на 18,2 %), </w:t>
      </w:r>
      <w:r w:rsidR="00D0493D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жидкого хлора (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13,7 %)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Вместе с тем</w:t>
      </w:r>
      <w:r w:rsidR="0099489F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873753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раза</w:t>
      </w:r>
      <w:r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сократилось производство</w:t>
      </w:r>
      <w:r w:rsidR="004E2B16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азотной кислоты,</w:t>
      </w:r>
      <w:r w:rsidR="00D175E9" w:rsidRPr="003472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E2B1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73753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15,8</w:t>
      </w:r>
      <w:r w:rsidR="004E2B1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– </w:t>
      </w:r>
      <w:r w:rsidR="00873753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гликолей</w:t>
      </w:r>
      <w:r w:rsidR="004E2B1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 13,</w:t>
      </w:r>
      <w:r w:rsidR="0034723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4E2B1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– </w:t>
      </w:r>
      <w:r w:rsidR="0034723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смол </w:t>
      </w:r>
      <w:proofErr w:type="spellStart"/>
      <w:r w:rsidR="0034723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аминоальдегидных</w:t>
      </w:r>
      <w:proofErr w:type="spellEnd"/>
      <w:r w:rsidR="0034723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, фенолоальдегидных в первичных формах</w:t>
      </w:r>
      <w:r w:rsidR="004E2B16"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D26F17" w:rsidRDefault="00A745BF" w:rsidP="00AB2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Химические предприятия города, такие как </w:t>
      </w:r>
      <w:r w:rsid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К</w:t>
      </w:r>
      <w:r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АО «АЗОТ</w:t>
      </w:r>
      <w:proofErr w:type="gramStart"/>
      <w:r w:rsidRPr="00D26F17">
        <w:rPr>
          <w:rFonts w:ascii="Times New Roman" w:eastAsia="Times New Roman" w:hAnsi="Times New Roman" w:cs="Times New Roman"/>
          <w:sz w:val="28"/>
          <w:szCs w:val="28"/>
          <w:lang w:eastAsia="x-none"/>
        </w:rPr>
        <w:t>»,</w:t>
      </w:r>
      <w:r w:rsidRPr="00D2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2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26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«Полимер», ООО ПО «</w:t>
      </w:r>
      <w:proofErr w:type="spellStart"/>
      <w:r w:rsidRPr="00D26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Токем</w:t>
      </w:r>
      <w:proofErr w:type="spellEnd"/>
      <w:r w:rsidRPr="00D26F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продолжают реализацию инвестиционных проектов по реконструкции и модернизации производств, оптимизации энергетического хозяйства.</w:t>
      </w:r>
    </w:p>
    <w:p w:rsidR="00A745BF" w:rsidRPr="00CD38B9" w:rsidRDefault="00A745BF" w:rsidP="00AB2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38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Производство кокса, нефтепродуктов</w:t>
      </w:r>
      <w:r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составляет </w:t>
      </w:r>
      <w:r w:rsidR="00CD38B9"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>25,9</w:t>
      </w:r>
      <w:r w:rsidR="007640F8"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от общего объема промышленного производства. </w:t>
      </w:r>
      <w:r w:rsid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 w:rsidR="007640F8"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CD38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индекс промышленного производства составил </w:t>
      </w:r>
      <w:r w:rsidR="00CD38B9" w:rsidRPr="00CD38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103,7</w:t>
      </w:r>
      <w:r w:rsidRPr="00CD38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%.</w:t>
      </w:r>
    </w:p>
    <w:p w:rsidR="00A745BF" w:rsidRPr="006101E9" w:rsidRDefault="00A745BF" w:rsidP="00AB27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Основным производителем по данному подвиду экономической деятельности является </w:t>
      </w:r>
      <w:r w:rsidR="00CD38B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АО «Кокс». Объем производства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30,4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млрд. рублей, что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12,3 % выше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2015</w:t>
      </w:r>
      <w:r w:rsidR="0098036A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года</w:t>
      </w:r>
      <w:r w:rsidR="0098036A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натуральном выражении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увеличилось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производство кокса металлургического </w:t>
      </w:r>
      <w:proofErr w:type="spellStart"/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с.в</w:t>
      </w:r>
      <w:proofErr w:type="spellEnd"/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3,6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и составило </w:t>
      </w:r>
      <w:r w:rsidR="006101E9" w:rsidRPr="006101E9">
        <w:rPr>
          <w:rFonts w:ascii="Times New Roman" w:hAnsi="Times New Roman" w:cs="Times New Roman"/>
          <w:sz w:val="28"/>
          <w:szCs w:val="28"/>
        </w:rPr>
        <w:t xml:space="preserve">2 654,8 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тонн</w:t>
      </w:r>
      <w:r w:rsidR="00F97D18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A4724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окс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6 % влажности – на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3,6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(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2 824,2</w:t>
      </w:r>
      <w:r w:rsidR="00360ACB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тонн)</w:t>
      </w:r>
      <w:r w:rsidR="007A4724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смолы каменноугольной – на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3,3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(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123,0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тонн)</w:t>
      </w:r>
      <w:r w:rsidR="007A4724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97D18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сырого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бензола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3,9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proofErr w:type="gramStart"/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proofErr w:type="gramEnd"/>
      <w:r w:rsidR="006101E9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F97D18"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0,0 тыс. тонн</w:t>
      </w:r>
      <w:r w:rsidRPr="006101E9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627CA6" w:rsidRPr="0027277A" w:rsidRDefault="00627CA6" w:rsidP="00627C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>ноябр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запущена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эксплуатацию конденсационн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электростанци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(КЭС) мощностью 12 МВт – самый значимый проект предприятия за 2014-2016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годы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В результате функционирования электростанции годовая выработка тепловой энергии составит 412 тыс. Гкал, что 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обеспечит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потребности завода. Проектная мощность КЭС позволит обеспечить годовую потребность ПАО «Кокс» в электроэнергии более чем на три четверти. Электростанция позволит </w:t>
      </w:r>
      <w:r w:rsidR="00B2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>максимально</w:t>
      </w:r>
      <w:r w:rsidR="00B2656F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2656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пользой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265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использовать </w:t>
      </w:r>
      <w:r w:rsidRPr="00627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коксовый газ, образующийся в процессе получения кокса, снизить горение избыточного коксового газа на сбросной свече и 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предотвратить дополнительный выброс загрязняющих веществ и парниковых газов в атмосферу, которые бы образовались при сжигании эквивалентного количества угля. </w:t>
      </w:r>
    </w:p>
    <w:p w:rsidR="00A745BF" w:rsidRPr="0027277A" w:rsidRDefault="00627CA6" w:rsidP="00627C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обслуживания электростанции создано 59 новых рабочих мест. </w:t>
      </w:r>
      <w:r w:rsidR="00A745BF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227AB6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227AB6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A745BF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A745BF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объем инвестиций по данному проекту составил 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404,95</w:t>
      </w:r>
      <w:r w:rsidR="00A745BF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</w:t>
      </w:r>
      <w:r w:rsidR="0012587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27277A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x-none"/>
        </w:rPr>
      </w:pPr>
    </w:p>
    <w:p w:rsidR="00A745BF" w:rsidRPr="00663B07" w:rsidRDefault="00A745BF" w:rsidP="002117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7277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Производство и распределение электроэнергии, газа и воды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663B07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в </w:t>
      </w:r>
      <w:r w:rsidR="0010051A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663B07"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7277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сравнению с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2015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возросло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5,4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 за счет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увеличения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объемов</w:t>
      </w:r>
      <w:r w:rsidR="00730BAC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тепло- и электроэнергии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отпускаемых распределительными компаниями.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начала года электростанциями города выработано 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4,3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</w:t>
      </w:r>
      <w:proofErr w:type="spellStart"/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ГВт.ч</w:t>
      </w:r>
      <w:proofErr w:type="spellEnd"/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электроэнергии, что 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3,4 % выше уровня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года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Производство тепловой энергии в городе 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возросла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9,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и составило </w:t>
      </w:r>
      <w:r w:rsidR="00663B07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9,9</w:t>
      </w:r>
      <w:r w:rsidR="0010051A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9489F" w:rsidRPr="00663B07">
        <w:rPr>
          <w:rFonts w:ascii="Times New Roman" w:eastAsia="Times New Roman" w:hAnsi="Times New Roman" w:cs="Times New Roman"/>
          <w:sz w:val="28"/>
          <w:szCs w:val="28"/>
          <w:lang w:eastAsia="x-none"/>
        </w:rPr>
        <w:t>млн. Гкал.</w:t>
      </w:r>
    </w:p>
    <w:p w:rsidR="00A745BF" w:rsidRDefault="00A745BF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12587B" w:rsidRPr="0038709F" w:rsidRDefault="0012587B" w:rsidP="002117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x-none"/>
        </w:rPr>
      </w:pPr>
    </w:p>
    <w:p w:rsidR="002117D4" w:rsidRDefault="002117D4" w:rsidP="002117D4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</w:rPr>
      </w:pPr>
    </w:p>
    <w:p w:rsidR="00A745BF" w:rsidRPr="00640690" w:rsidRDefault="00A745BF" w:rsidP="002117D4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</w:rPr>
      </w:pPr>
      <w:bookmarkStart w:id="11" w:name="_Toc478641579"/>
      <w:r w:rsidRPr="00640690">
        <w:rPr>
          <w:rFonts w:ascii="Times New Roman" w:hAnsi="Times New Roman" w:cs="Times New Roman"/>
          <w:b/>
          <w:color w:val="auto"/>
        </w:rPr>
        <w:lastRenderedPageBreak/>
        <w:t>ПОТРЕБИТЕЛЬСКИЙ РЫНОК*</w:t>
      </w:r>
      <w:bookmarkEnd w:id="11"/>
    </w:p>
    <w:p w:rsidR="00A745BF" w:rsidRPr="00640690" w:rsidRDefault="00A745BF" w:rsidP="002117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x-none"/>
        </w:rPr>
      </w:pPr>
    </w:p>
    <w:p w:rsidR="00A745BF" w:rsidRPr="00640690" w:rsidRDefault="00A745BF" w:rsidP="002117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640690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="00352808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640690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40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оборот розничной торговли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640690" w:rsidRPr="00640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101,2</w:t>
      </w:r>
      <w:r w:rsidRPr="00640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64069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рублей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что в товарной массе на </w:t>
      </w:r>
      <w:r w:rsidR="00640690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12,7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меньше 201</w:t>
      </w:r>
      <w:r w:rsidR="00352808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  </w:t>
      </w:r>
    </w:p>
    <w:p w:rsidR="007A4724" w:rsidRPr="00640690" w:rsidRDefault="00A745BF" w:rsidP="007A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98,</w:t>
      </w:r>
      <w:r w:rsidR="00640690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оборота розничной торговли формировалось торгующими организациями и индивидуальными предпринимателями, осуществляющими деятельность в стационарной торговой сети, и </w:t>
      </w:r>
      <w:r w:rsidR="00640690"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>1,8</w:t>
      </w:r>
      <w:r w:rsidRPr="0064069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– за счет продажи товаров на розничных рынках и ярмарках.</w:t>
      </w:r>
    </w:p>
    <w:p w:rsidR="00341870" w:rsidRPr="004B1FF1" w:rsidRDefault="00341870" w:rsidP="007A47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структуре оборота розничной торговли крупных и средних организаций всех видов деятельности пищевые продукты, включая напитки, и</w:t>
      </w:r>
      <w:r w:rsidR="00743E60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табачные изделия составили </w:t>
      </w:r>
      <w:r w:rsidR="004B1FF1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49,4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%, непродовольственные товары – </w:t>
      </w:r>
      <w:r w:rsidR="004B1FF1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50,6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157D32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</w:t>
      </w:r>
      <w:proofErr w:type="gramStart"/>
      <w:r w:rsidR="00157D32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gramEnd"/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</w:t>
      </w:r>
      <w:r w:rsidR="00763C63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5 год</w:t>
      </w:r>
      <w:r w:rsidR="004B1FF1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157D32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50,</w:t>
      </w:r>
      <w:r w:rsidR="004B1FF1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и </w:t>
      </w:r>
      <w:r w:rsidR="00157D32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49,</w:t>
      </w:r>
      <w:r w:rsidR="004B1FF1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A745BF" w:rsidRPr="004B1F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соответственно).</w:t>
      </w:r>
    </w:p>
    <w:p w:rsidR="00A745BF" w:rsidRPr="003F20AD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Продолжилась работа по введению новых предприятий торговли. </w:t>
      </w:r>
      <w:r w:rsidR="00E616B2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введено 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303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торговой сети (вновь открыт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о 28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</w:t>
      </w:r>
      <w:r w:rsidR="00654852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после реконструкции – </w:t>
      </w:r>
      <w:r w:rsidR="000C620E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275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объектов). Торговая площадь введенных в эксплуатацию объектов составила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162,2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м, создано 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1 391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ее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3F20AD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Обеспеченность населения площадью торговых объектов составляет 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786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кв. м на 1 000 человек населения, </w:t>
      </w:r>
      <w:r w:rsidR="00930615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что на 10,0 % выше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норматива 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proofErr w:type="gramStart"/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gramEnd"/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712 кв. м на 1 000 человек).</w:t>
      </w:r>
    </w:p>
    <w:p w:rsidR="00A745BF" w:rsidRPr="003F20AD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На территории города Кемерово действует сеть социально ориентированных торговых предприятий со статусом «Губернский»:</w:t>
      </w:r>
    </w:p>
    <w:p w:rsidR="00A745BF" w:rsidRPr="003F20AD" w:rsidRDefault="00A745BF" w:rsidP="003F2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- 1 губернский сельский рынок ПО «Кемеровское»; </w:t>
      </w:r>
    </w:p>
    <w:p w:rsidR="00A745BF" w:rsidRPr="003F20AD" w:rsidRDefault="00A745BF" w:rsidP="003F2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- 2 губернских сельских центра фермерской торговли ООО «Сельские рынки Кузбасса».</w:t>
      </w:r>
    </w:p>
    <w:p w:rsidR="00A745BF" w:rsidRPr="009036CA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каждом губернском торговом предприятии существует ассортиментный перечень товаров, который реализуется по ценам на </w:t>
      </w:r>
      <w:r w:rsidR="00AD71A6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10 – 15 % ниже цен, сложившихся в розничной торговле. На губернском сельском рынке ассортиментный перечень включает в себя 90 наименований социально значимых продуктов питания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губернских центрах фермер</w:t>
      </w:r>
      <w:r w:rsidR="003F20AD"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ской торговли – 43 наименования</w:t>
      </w:r>
      <w:r w:rsidRPr="003F20A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EC3188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Специалистами управления потребительского рынка и развития предпринимательства администрации города Кемерово регулярно осуществляются проверки губернских предприятий по соблюдению утвержденного ассортиментного перечня и цен. За 201</w:t>
      </w:r>
      <w:r w:rsidR="00507B41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проведено </w:t>
      </w:r>
      <w:r w:rsidR="009036CA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53</w:t>
      </w: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53402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провер</w:t>
      </w:r>
      <w:r w:rsidR="009036CA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Выявлено </w:t>
      </w:r>
      <w:r w:rsidR="004B1EE1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9036CA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факт</w:t>
      </w:r>
      <w:r w:rsidR="00507B41"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9036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нарушения порядка ценообразования на </w:t>
      </w:r>
      <w:r w:rsidRPr="00EC318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социально значимые продукты питания, цены приведены в соответствие.</w:t>
      </w:r>
    </w:p>
    <w:p w:rsidR="000C620E" w:rsidRPr="00EC3188" w:rsidRDefault="00475D9D" w:rsidP="000C62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C3188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того, специалистами управления потребительского рынка и развития предпринимательства и соответствующими отделами территориальных управлений районов города ежемесячно проводится мониторинг цен по 40 наименованиям товаров в 15 продовольственных</w:t>
      </w:r>
      <w:r w:rsidR="000C620E" w:rsidRPr="00EC3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магазинах. </w:t>
      </w:r>
      <w:r w:rsidR="00EC3188" w:rsidRPr="00EC318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2016</w:t>
      </w:r>
      <w:r w:rsidR="000C620E" w:rsidRPr="00EC3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 в обследуемых магазинах ассортиментный перечень не изменился. Повышенного спроса на продукты питания не наблюдалось.</w:t>
      </w:r>
    </w:p>
    <w:p w:rsidR="004335AF" w:rsidRPr="004335AF" w:rsidRDefault="004335AF" w:rsidP="00EC31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x-none"/>
        </w:rPr>
      </w:pPr>
      <w:r w:rsidRPr="004B1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83CCE" wp14:editId="30A15F49">
                <wp:simplePos x="0" y="0"/>
                <wp:positionH relativeFrom="margin">
                  <wp:posOffset>-213360</wp:posOffset>
                </wp:positionH>
                <wp:positionV relativeFrom="paragraph">
                  <wp:posOffset>9525</wp:posOffset>
                </wp:positionV>
                <wp:extent cx="61531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3B1DF"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pt,.75pt" to="46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0C620E" w:rsidRPr="004B1FF1" w:rsidRDefault="00EC3188" w:rsidP="00EC31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EC3188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* Данные рассчитаны Кемеровостатом в аналитических целях в качестве оценочных </w:t>
      </w:r>
      <w:r w:rsidR="000C620E" w:rsidRPr="004B1FF1">
        <w:rPr>
          <w:rFonts w:ascii="Times New Roman" w:eastAsia="Times New Roman" w:hAnsi="Times New Roman" w:cs="Times New Roman"/>
          <w:sz w:val="24"/>
          <w:szCs w:val="28"/>
          <w:lang w:eastAsia="x-none"/>
        </w:rPr>
        <w:t>и не являются официальной статистической информацией</w:t>
      </w:r>
    </w:p>
    <w:p w:rsidR="00475D9D" w:rsidRPr="00F811B9" w:rsidRDefault="00475D9D" w:rsidP="00475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 </w:t>
      </w:r>
      <w:r w:rsidR="00BA047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течение 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года проведено </w:t>
      </w:r>
      <w:r w:rsidR="00BA047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1 502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провер</w:t>
      </w:r>
      <w:r w:rsidR="00BA047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ки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правильности применения торговой надбавки. Фактов нарушения порядка ценообразования на социально значимые продукты питания не выявлено.</w:t>
      </w:r>
    </w:p>
    <w:p w:rsidR="00053402" w:rsidRPr="00F811B9" w:rsidRDefault="00A745BF" w:rsidP="00512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Большой вклад в формирование потребительского рынка вносят местные производители. На территории города действуют </w:t>
      </w:r>
      <w:r w:rsidR="00BD4D92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цех</w:t>
      </w:r>
      <w:r w:rsidR="00BD4D92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малой мощности и 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BD4D92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мини-пекарни, которые предлагают для потребителей широкий ассортимент продуктов питания (мясная и рыбная продукция, макаронные и кондитерские изделия, безалкогольные напитки и др.).</w:t>
      </w:r>
      <w:r w:rsidR="0051244E" w:rsidRPr="00F811B9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 </w:t>
      </w:r>
    </w:p>
    <w:p w:rsidR="00A745BF" w:rsidRPr="0038709F" w:rsidRDefault="00BD4D92" w:rsidP="00C2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14597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проведено 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сельскохозяйственны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ярмар</w:t>
      </w:r>
      <w:r w:rsidR="00F811B9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>ок</w:t>
      </w:r>
      <w:r w:rsidR="00A745BF" w:rsidRPr="00F811B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участием </w:t>
      </w:r>
      <w:r w:rsidR="00A745BF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предприятий пищевой и перерабатывающей промышленности, сельского хозяйства, областного потребительского союза, оптовой торговли.</w:t>
      </w:r>
      <w:r w:rsidR="00B076A3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Кроме того, проведен</w:t>
      </w:r>
      <w:r w:rsidR="00300E9F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076A3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ярмарк</w:t>
      </w:r>
      <w:r w:rsidR="00F811B9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B076A3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«Все для сада, огорода»</w:t>
      </w:r>
      <w:r w:rsidR="00F811B9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специализированная садоводческая ярмарка</w:t>
      </w:r>
      <w:r w:rsidR="00B076A3" w:rsidRPr="00300E9F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обеспечивающая жителей города семенным картофелем, саженцами плодово-ягодных и декоративных культур, овощами и цветочной рассадой, удобрениями, укрывным материалом, садовым инвентарем и др.</w:t>
      </w:r>
    </w:p>
    <w:p w:rsidR="00A745BF" w:rsidRPr="00DA230D" w:rsidRDefault="00AB4DD4" w:rsidP="00C21F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2016 году </w:t>
      </w:r>
      <w:r w:rsidRPr="00AB4DD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="00A745BF" w:rsidRPr="00AB4DD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борот общественного питания</w:t>
      </w:r>
      <w:r w:rsidR="00A745BF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городу </w:t>
      </w:r>
      <w:r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незначительно увеличился</w:t>
      </w:r>
      <w:r w:rsidR="00A745BF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сравнению с </w:t>
      </w:r>
      <w:r w:rsidR="004C2E76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A745BF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0,8 % </w:t>
      </w:r>
      <w:r w:rsidR="00A745BF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сопоставимых ценах) и составил </w:t>
      </w:r>
      <w:r w:rsidRPr="00AB4DD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5,7</w:t>
      </w:r>
      <w:r w:rsidR="00A745BF" w:rsidRPr="00AB4DD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</w:t>
      </w:r>
      <w:r w:rsidR="00A745BF" w:rsidRPr="00AB4DD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DA230D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городе действует </w:t>
      </w:r>
      <w:r w:rsidR="0002021F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83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предприяти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общественного питания, в том числе 6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456E25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</w:t>
      </w:r>
      <w:r w:rsidR="00456E25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общедоступной сети на </w:t>
      </w:r>
      <w:r w:rsidR="0002021F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 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132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посадочных мест</w:t>
      </w:r>
      <w:r w:rsidR="00456E25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из них 2</w:t>
      </w:r>
      <w:r w:rsidR="00456E25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кафе; 22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закусочных; 1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39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бар</w:t>
      </w:r>
      <w:r w:rsidR="0002021F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; 3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ресторанов. </w:t>
      </w:r>
    </w:p>
    <w:p w:rsidR="00A745BF" w:rsidRPr="00DA230D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</w:t>
      </w:r>
      <w:r w:rsidR="004B7C2A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открылось 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40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общественного питания на 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814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посадочных мест, при этом создано </w:t>
      </w:r>
      <w:r w:rsidR="00DA230D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234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</w:t>
      </w:r>
      <w:r w:rsidR="004B7C2A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</w:t>
      </w:r>
      <w:r w:rsidR="004B7C2A"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A230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51535A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53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Объем платных услуг</w:t>
      </w:r>
      <w:r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оказанных населению, составил </w:t>
      </w:r>
      <w:r w:rsidR="0051535A" w:rsidRPr="005153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35,1</w:t>
      </w:r>
      <w:r w:rsidRPr="005153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</w:t>
      </w:r>
      <w:r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5552D9"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уменьшившись</w:t>
      </w:r>
      <w:r w:rsidR="00C807EB"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сопоставимых ценах на </w:t>
      </w:r>
      <w:r w:rsidR="0051535A"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>1,3</w:t>
      </w:r>
      <w:r w:rsidRPr="0051535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  Преобладающую долю в общем объеме платных услуг населению занимают услуги связи, жилищно-коммунальные, медицинские услуги и услуги системы образования.</w:t>
      </w:r>
    </w:p>
    <w:p w:rsidR="00A745BF" w:rsidRPr="002B420C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Сфера бытового обслуживания в городе включает 1 </w:t>
      </w:r>
      <w:r w:rsidR="002B420C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192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</w:t>
      </w:r>
      <w:r w:rsidR="002B420C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2016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2B420C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открыто </w:t>
      </w:r>
      <w:r w:rsidR="005552D9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67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</w:t>
      </w:r>
      <w:r w:rsid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420C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бытового обслуживания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создано </w:t>
      </w:r>
      <w:r w:rsidR="002B420C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234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</w:t>
      </w:r>
      <w:r w:rsidR="00C807EB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их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</w:t>
      </w:r>
      <w:r w:rsidR="005552D9"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B420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475140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0D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Индекс потребительских цен</w:t>
      </w:r>
      <w:r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</w:t>
      </w:r>
      <w:r w:rsidR="00550DC0"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декабре</w:t>
      </w:r>
      <w:r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 w:rsidR="00C807EB"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по отношению к предыдущему месяцу составил </w:t>
      </w:r>
      <w:r w:rsidRPr="00550D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100,</w:t>
      </w:r>
      <w:r w:rsidR="00550DC0" w:rsidRPr="00550D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550D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%,</w:t>
      </w:r>
      <w:r w:rsidRPr="00550D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том числе на </w:t>
      </w:r>
      <w:r w:rsidRPr="00550DC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продовольственные товары </w:t>
      </w:r>
      <w:r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– </w:t>
      </w:r>
      <w:r w:rsidR="00C807EB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100,</w:t>
      </w:r>
      <w:r w:rsidR="00550DC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Pr="004751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непродовольственные товары – </w:t>
      </w:r>
      <w:r w:rsidR="00C807EB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100,</w:t>
      </w:r>
      <w:r w:rsidR="00550DC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="0059654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, услуги – </w:t>
      </w:r>
      <w:r w:rsidR="00351827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</w:t>
      </w:r>
      <w:r w:rsidR="00550DC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99,7</w:t>
      </w:r>
      <w:r w:rsidR="00351827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59654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%.</w:t>
      </w:r>
      <w:r w:rsidRPr="004751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начала текущего года индекс потребительских цен составил </w:t>
      </w:r>
      <w:r w:rsidR="00351827" w:rsidRPr="004751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="00475140"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104,5</w:t>
      </w:r>
      <w:r w:rsidRPr="0047514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%</w:t>
      </w:r>
      <w:r w:rsidRPr="0047514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206929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Стоимость </w:t>
      </w:r>
      <w:r w:rsidRPr="00206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минимального набора продуктов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питания (используется для анализа изменений цен по фиксированной корзине товаров с едиными объемами потребления) в </w:t>
      </w:r>
      <w:r w:rsidR="00206929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декабре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</w:t>
      </w:r>
      <w:r w:rsidR="00351827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увеличилась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206929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32,25 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рубля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отношению к 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предыдуще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му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месяц</w:t>
      </w:r>
      <w:r w:rsidR="00D145E4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составила </w:t>
      </w:r>
      <w:r w:rsidR="00206929" w:rsidRPr="00206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3 275,38</w:t>
      </w:r>
      <w:r w:rsidRPr="00206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рубля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расчете на одного человека (по Кемеровской области – </w:t>
      </w:r>
      <w:r w:rsidR="00206929"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>3 463,81</w:t>
      </w:r>
      <w:r w:rsidRPr="00206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рубля). </w:t>
      </w:r>
    </w:p>
    <w:p w:rsidR="00A745BF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E831F7" w:rsidRPr="00206929" w:rsidRDefault="00E831F7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45BF" w:rsidRPr="00C824E8" w:rsidRDefault="00A745BF" w:rsidP="00AF26D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478641580"/>
      <w:r w:rsidRPr="00C824E8">
        <w:rPr>
          <w:rFonts w:ascii="Times New Roman" w:hAnsi="Times New Roman" w:cs="Times New Roman"/>
          <w:b/>
          <w:color w:val="auto"/>
        </w:rPr>
        <w:lastRenderedPageBreak/>
        <w:t>МАЛОЕ ПРЕДПРИНИМАТЕЛЬСТВО</w:t>
      </w:r>
      <w:bookmarkEnd w:id="12"/>
    </w:p>
    <w:p w:rsidR="00A745BF" w:rsidRPr="00C824E8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(предварительные данные)</w:t>
      </w:r>
    </w:p>
    <w:p w:rsidR="00A745BF" w:rsidRPr="00C824E8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x-none"/>
        </w:rPr>
      </w:pPr>
    </w:p>
    <w:p w:rsidR="004B59F7" w:rsidRPr="00C824E8" w:rsidRDefault="004B59F7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состоянию на 01.01.2017 число суб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ъект</w:t>
      </w:r>
      <w:r w:rsidR="0092586A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малого </w:t>
      </w: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среднего 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предпринимательства</w:t>
      </w: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составило 499 единиц на 1 000 человек населения. </w:t>
      </w:r>
    </w:p>
    <w:p w:rsidR="00A745BF" w:rsidRPr="00DF76C0" w:rsidRDefault="004B59F7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Доля </w:t>
      </w:r>
      <w:r w:rsidR="000E3686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реднесписочн</w:t>
      </w: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численност</w:t>
      </w:r>
      <w:r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A745BF" w:rsidRPr="00C824E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работников</w:t>
      </w:r>
      <w:r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(без внешних совместителей)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занятых на малых </w:t>
      </w:r>
      <w:r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средних 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предприятиях</w:t>
      </w:r>
      <w:r w:rsidR="000E3686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</w:t>
      </w:r>
      <w:r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ла </w:t>
      </w:r>
      <w:r w:rsidR="00DF76C0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35,0</w:t>
      </w:r>
      <w:r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от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среднесписочной численности работников (без внешних совместителей), занятых на всех предприятиях и организациях города</w:t>
      </w:r>
      <w:r w:rsidR="00A745BF" w:rsidRPr="00DF76C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A745BF" w:rsidRPr="00BE54A3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реализацию мероприятий муниципальной программы развития субъектов малого и среднего предпринимательства в городе Кемерово в </w:t>
      </w:r>
      <w:r w:rsidR="002C652B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1C6FE6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C824E8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выделено </w:t>
      </w:r>
      <w:r w:rsidR="00C824E8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26,0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в том числе за счет средств </w:t>
      </w:r>
      <w:r w:rsidR="00BE54A3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федерального бюджета – 6,9 млн. рублей, средств 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бюджета города Кемерово – </w:t>
      </w:r>
      <w:r w:rsidR="00BE54A3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12,4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</w:t>
      </w:r>
      <w:r w:rsidR="00BE54A3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средств областного бюджета – 0,4 млн. рублей, 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средств Муниципального некоммерческого Фонда поддержки малого предпринимательства г. Кемерово – </w:t>
      </w:r>
      <w:r w:rsidR="00BE54A3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1C6FE6"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,3 млн. рублей</w:t>
      </w:r>
      <w:r w:rsidRPr="00BE54A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94305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улучшения условий ведения предпринимательской деятельности продолжилась выдача займов, предоставление субсидий и грантов субъектам малого и среднего предпринимательства. </w:t>
      </w:r>
    </w:p>
    <w:p w:rsidR="004659A2" w:rsidRPr="00595013" w:rsidRDefault="004659A2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95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2016 году принято решение о предоставлении грантовой поддержки              5 субъектам малого и среднего предпринимательства на сумму 1 721,3 тыс. рублей, создано и сохранено 10 рабочих мест. 40 организациям и индивидуальным предпринимателям предоставлены субсидии для компенсации части понесенных ими затрат в процессе осуществления предпринимательской деятельности в размере 11 070,0 тыс. рублей, создано и сохранено </w:t>
      </w:r>
      <w:r w:rsidR="00595013" w:rsidRPr="00595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911 </w:t>
      </w:r>
      <w:r w:rsidRPr="00595013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рабочих мест</w:t>
      </w:r>
      <w:r w:rsidR="00595013" w:rsidRPr="005950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A745BF" w:rsidRPr="0079682C" w:rsidRDefault="00615F6C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2016 </w:t>
      </w:r>
      <w:r w:rsidR="00A745BF"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</w:t>
      </w:r>
      <w:r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A745BF"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муниципальным некоммерческим фондом поддержки малого предпринимательства г. Кемерово профинансировано </w:t>
      </w:r>
      <w:r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A745BF"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</w:t>
      </w:r>
      <w:r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="00A745BF" w:rsidRPr="00615F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</w:t>
      </w:r>
      <w:r w:rsidR="00A745BF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общую сумму 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 </w:t>
      </w:r>
      <w:r w:rsidR="00F474A7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920,0</w:t>
      </w:r>
      <w:r w:rsidR="00A745BF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474A7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</w:t>
      </w:r>
      <w:r w:rsidR="00A745BF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. рублей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создано 16 новых рабочих мест</w:t>
      </w:r>
      <w:r w:rsidR="00A745BF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8D04AB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Всего субъектам малого предпринимательства </w:t>
      </w:r>
      <w:r w:rsidR="0079682C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F474A7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F474A7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79682C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выдано </w:t>
      </w:r>
      <w:r w:rsidR="0079682C"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>9 745,3</w:t>
      </w:r>
      <w:r w:rsidRPr="007968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 кредитных </w:t>
      </w:r>
      <w:r w:rsidRPr="008D04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ресурсов на развитие промышленности, торговли, транспорта и прочих отраслей. </w:t>
      </w:r>
    </w:p>
    <w:p w:rsidR="00A745BF" w:rsidRPr="00520EF3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04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Наибольшая сумма выданных кредитов субъектам малого предпринимательства приходится на кредиты юридическим лицам – </w:t>
      </w:r>
      <w:r w:rsidR="008D04AB" w:rsidRPr="008D04AB">
        <w:rPr>
          <w:rFonts w:ascii="Times New Roman" w:eastAsia="Times New Roman" w:hAnsi="Times New Roman" w:cs="Times New Roman"/>
          <w:sz w:val="28"/>
          <w:szCs w:val="28"/>
          <w:lang w:eastAsia="x-none"/>
        </w:rPr>
        <w:t>89,9</w:t>
      </w:r>
      <w:r w:rsidRPr="008D04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  <w:r w:rsidRPr="008D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4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Структура выданных кредитов сложилась 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следующим образом: на торговлю приходится </w:t>
      </w:r>
      <w:r w:rsidR="008D04AB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62,5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всех выданных кредитов, 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промышленность </w:t>
      </w:r>
      <w:r w:rsidR="00EE4D75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D04AB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10,3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%,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транспорт </w:t>
      </w:r>
      <w:r w:rsidR="00EE4D75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D04AB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3,4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2668F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%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прочие отрасли </w:t>
      </w:r>
      <w:r w:rsidR="00EE4D75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4263D6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D04AB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23,8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 </w:t>
      </w:r>
    </w:p>
    <w:p w:rsidR="00A745BF" w:rsidRPr="00520EF3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Структура выданных кредитов индивидуальным предпринимателям сложилась следующим образом: на торговлю приходится </w:t>
      </w:r>
      <w:r w:rsidR="00520EF3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64,3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всех выданных кредитов</w:t>
      </w:r>
      <w:r w:rsidR="00002668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индивидуальным предпринимателям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 транспорт</w:t>
      </w:r>
      <w:r w:rsidR="00002668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              </w:t>
      </w:r>
      <w:r w:rsidR="00520EF3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11,3</w:t>
      </w:r>
      <w:r w:rsidR="00002668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002668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промышленность – </w:t>
      </w:r>
      <w:r w:rsidR="00520EF3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2,7</w:t>
      </w:r>
      <w:r w:rsidR="00002668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%, на прочие отрасли – </w:t>
      </w:r>
      <w:r w:rsidR="00520EF3"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>21,7</w:t>
      </w:r>
      <w:r w:rsidRPr="00520E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%.</w:t>
      </w:r>
    </w:p>
    <w:p w:rsidR="00B635D1" w:rsidRPr="00FB4151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содействии специалистов муниципального бюджетного учреждения «Центр поддержки предпринимательства» г. Кемерово (далее – </w:t>
      </w:r>
      <w:r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ЦПП) с начала года подготовлено 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589</w:t>
      </w:r>
      <w:r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пакетов документов для регистрации в качестве субъектов предпринимательской деятельности</w:t>
      </w:r>
      <w:r w:rsidR="00B635D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A745BF" w:rsidRPr="00FB4151" w:rsidRDefault="00554CE0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B635D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пециалистами ЦПП</w:t>
      </w:r>
      <w:r w:rsidR="00A745BF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оказано 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18 800</w:t>
      </w:r>
      <w:r w:rsidR="00A745BF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консультаций</w:t>
      </w:r>
      <w:r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 </w:t>
      </w:r>
      <w:r w:rsidR="0005622A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</w:t>
      </w:r>
      <w:r w:rsidR="00B635D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подготовк</w:t>
      </w:r>
      <w:r w:rsidR="0005622A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B635D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сдач</w:t>
      </w:r>
      <w:r w:rsidR="0005622A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B635D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отчетности в ИФНС РФ по г. Кемерово и внебюджетные фонды – 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13 610</w:t>
      </w:r>
      <w:r w:rsidR="009011AF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консультаций, подготовлено 4 770 отчетных докуме</w:t>
      </w:r>
      <w:r w:rsid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FB4151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тов</w:t>
      </w:r>
      <w:r w:rsidR="00A745BF" w:rsidRPr="00FB415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C22E8" w:rsidRPr="0038709F" w:rsidRDefault="009C22E8" w:rsidP="009C22E8">
      <w:pPr>
        <w:widowControl w:val="0"/>
        <w:tabs>
          <w:tab w:val="left" w:pos="7938"/>
          <w:tab w:val="left" w:pos="9781"/>
        </w:tabs>
        <w:spacing w:after="0" w:line="240" w:lineRule="auto"/>
        <w:ind w:right="27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</w:p>
    <w:p w:rsidR="00A745BF" w:rsidRPr="00D232F4" w:rsidRDefault="00A745BF" w:rsidP="00AF26D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3" w:name="_Toc478641581"/>
      <w:r w:rsidRPr="00D232F4">
        <w:rPr>
          <w:rFonts w:ascii="Times New Roman" w:hAnsi="Times New Roman" w:cs="Times New Roman"/>
          <w:b/>
          <w:color w:val="auto"/>
        </w:rPr>
        <w:t>ФИНАНСОВОЕ СОСТОЯНИЕ ОРГАНИЗАЦИЙ</w:t>
      </w:r>
      <w:bookmarkEnd w:id="13"/>
    </w:p>
    <w:p w:rsidR="00A745BF" w:rsidRPr="00D232F4" w:rsidRDefault="00A745BF" w:rsidP="009C2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32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 данным Кемеровостата по состоянию на </w:t>
      </w:r>
      <w:r w:rsidR="00D232F4" w:rsidRPr="00D232F4">
        <w:rPr>
          <w:rFonts w:ascii="Times New Roman" w:eastAsia="Times New Roman" w:hAnsi="Times New Roman" w:cs="Times New Roman"/>
          <w:sz w:val="24"/>
          <w:szCs w:val="28"/>
          <w:lang w:eastAsia="ru-RU"/>
        </w:rPr>
        <w:t>20.02</w:t>
      </w:r>
      <w:r w:rsidRPr="00D232F4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D232F4" w:rsidRPr="00D232F4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D232F4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A745BF" w:rsidRPr="00D232F4" w:rsidRDefault="00A745BF" w:rsidP="009C22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45BF" w:rsidRPr="0038709F" w:rsidRDefault="00D232F4" w:rsidP="009C2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56E9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BF" w:rsidRPr="00D23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сальдированный финансовый результат 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(прибыль минус убыток) организаций города Кемерово (без субъектов малого предпринимательства, банков, страховых и бюджетных организаций) составил </w:t>
      </w:r>
      <w:r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31,2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прибыли (201</w:t>
      </w:r>
      <w:r w:rsidR="009456E9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7,98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</w:t>
      </w:r>
      <w:r w:rsidR="001872C8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прибыли</w:t>
      </w:r>
      <w:r w:rsidR="00A745BF" w:rsidRPr="00D2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745BF" w:rsidRPr="000213F7" w:rsidRDefault="00A745BF" w:rsidP="009C22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Кемерово </w:t>
      </w:r>
      <w:r w:rsidR="00D232F4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организаций получили убыток в размере </w:t>
      </w:r>
      <w:r w:rsidR="007001AD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32F4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рублей, что </w:t>
      </w:r>
      <w:r w:rsidR="007001AD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D232F4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001AD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D232F4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7001AD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9456E9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32F4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видами экономической деятельности, сформировавшими убыток, являются: </w:t>
      </w:r>
      <w:r w:rsidR="000529BB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</w:t>
      </w:r>
      <w:r w:rsidR="008963FA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недвижимым имуществом, производство и распределение электроэнергии, газа и воды, транспорт и связь, </w:t>
      </w:r>
      <w:r w:rsidR="000213F7"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02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A745BF" w:rsidRPr="000213F7" w:rsidRDefault="00A745BF" w:rsidP="00A74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45BF" w:rsidRPr="0036731A" w:rsidRDefault="00A745BF" w:rsidP="00A745B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сальдированного финансового результата</w:t>
      </w:r>
    </w:p>
    <w:p w:rsidR="004012F4" w:rsidRPr="0036731A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крупных и средних организаций г. Кемерово, млн. рублей</w:t>
      </w:r>
    </w:p>
    <w:p w:rsidR="00952A6A" w:rsidRDefault="00A745BF" w:rsidP="0095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731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4012F4" w:rsidRPr="00D61BD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D77931F" wp14:editId="7F53DB9B">
            <wp:extent cx="5940425" cy="2373211"/>
            <wp:effectExtent l="0" t="0" r="3175" b="8255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3870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52A6A" w:rsidRDefault="00952A6A" w:rsidP="0095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52A6A" w:rsidRPr="00C2522A" w:rsidRDefault="00A745BF" w:rsidP="0095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расчетов предприятий и организаций города Кемерово за отчетный период отмеч</w:t>
      </w:r>
      <w:r w:rsidR="008066CF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превышение задолженности дебиторов</w:t>
      </w:r>
      <w:r w:rsidR="008066CF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ADC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задолженностью кредиторов. </w:t>
      </w:r>
    </w:p>
    <w:p w:rsidR="00A745BF" w:rsidRPr="00C2522A" w:rsidRDefault="00A745BF" w:rsidP="0095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Кредиторская задолженность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и средних предприятий и организаций города Кемерово по состоянию на 01.0</w:t>
      </w:r>
      <w:r w:rsidR="00C2522A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2522A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8D64A2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522A" w:rsidRPr="00C2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92,2</w:t>
      </w:r>
      <w:r w:rsidRPr="00C2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млрд. рублей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2522A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C2522A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началом 201</w:t>
      </w:r>
      <w:r w:rsidR="003105B5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105B5"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>111,7</w:t>
      </w:r>
      <w:r w:rsidRPr="00C2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рублей).</w:t>
      </w:r>
    </w:p>
    <w:p w:rsidR="004B5354" w:rsidRPr="009F7DB5" w:rsidRDefault="004B5354" w:rsidP="004B5354">
      <w:pPr>
        <w:keepNext/>
        <w:keepLine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lastRenderedPageBreak/>
        <w:t xml:space="preserve">Доля </w:t>
      </w:r>
      <w:r w:rsidRPr="0088165B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просроченной кредиторской задолженности</w:t>
      </w: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в составе суммарной задолженности составила </w:t>
      </w:r>
      <w:r w:rsidR="0088165B" w:rsidRPr="0088165B">
        <w:rPr>
          <w:rFonts w:ascii="Times New Roman" w:eastAsia="Times New Roman" w:hAnsi="Times New Roman" w:cs="Times New Roman"/>
          <w:sz w:val="28"/>
          <w:szCs w:val="20"/>
          <w:lang w:eastAsia="x-none"/>
        </w:rPr>
        <w:t>5,5</w:t>
      </w:r>
      <w:r w:rsidRPr="008816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% (на 01.01.201</w:t>
      </w:r>
      <w:r w:rsidRPr="0088165B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– </w:t>
      </w:r>
      <w:r w:rsidRPr="008816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7,0 </w:t>
      </w: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%), или </w:t>
      </w:r>
      <w:r w:rsidR="0088165B" w:rsidRPr="0088165B">
        <w:rPr>
          <w:rFonts w:ascii="Times New Roman" w:eastAsia="Times New Roman" w:hAnsi="Times New Roman" w:cs="Times New Roman"/>
          <w:sz w:val="28"/>
          <w:szCs w:val="20"/>
          <w:lang w:eastAsia="x-none"/>
        </w:rPr>
        <w:t>5,1</w:t>
      </w:r>
      <w:r w:rsidRPr="0088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(на 01.01.2016 – 7,8 млрд. рублей).</w:t>
      </w:r>
      <w:r w:rsidRPr="0088165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  <w:r w:rsidRPr="009F7DB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Наибольший удельный вес в суммарной просроченной кредиторской задолженности занимают обязательства предприятий поставщикам </w:t>
      </w:r>
      <w:r w:rsidR="008140F8"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подрядчикам </w:t>
      </w:r>
      <w:r w:rsidRPr="009F7DB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– </w:t>
      </w:r>
      <w:r w:rsidR="0088165B"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>70,9</w:t>
      </w:r>
      <w:r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F7DB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%, долги в бюджет – </w:t>
      </w:r>
      <w:r w:rsidR="0088165B"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>11,3</w:t>
      </w:r>
      <w:r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F7DB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%, задолженность в государственные внебюджетные фонды – </w:t>
      </w:r>
      <w:r w:rsidR="009F7DB5"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>2,6</w:t>
      </w:r>
      <w:r w:rsidRPr="009F7DB5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9F7DB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%. </w:t>
      </w:r>
    </w:p>
    <w:p w:rsidR="00A745BF" w:rsidRPr="0038709F" w:rsidRDefault="00A745BF" w:rsidP="00A745BF">
      <w:pPr>
        <w:keepNext/>
        <w:keepLine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FF0000"/>
          <w:sz w:val="10"/>
          <w:szCs w:val="20"/>
          <w:lang w:val="x-none" w:eastAsia="x-none"/>
        </w:rPr>
      </w:pPr>
    </w:p>
    <w:p w:rsidR="00A745BF" w:rsidRPr="0057778B" w:rsidRDefault="00A745BF" w:rsidP="00A745BF">
      <w:pPr>
        <w:keepNext/>
        <w:keepLines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57778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Дебиторская</w:t>
      </w:r>
      <w:r w:rsidRPr="0057778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задолженность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по состоянию на 01.</w:t>
      </w:r>
      <w:r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0</w:t>
      </w:r>
      <w:r w:rsidR="0057778B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.201</w:t>
      </w:r>
      <w:r w:rsidR="0057778B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7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 составила </w:t>
      </w:r>
      <w:r w:rsidR="0057778B" w:rsidRPr="0057778B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117,2</w:t>
      </w:r>
      <w:r w:rsidRPr="0057778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млрд. рублей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что на </w:t>
      </w:r>
      <w:r w:rsidR="0057778B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14,7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% меньше по сравнению с началом </w:t>
      </w:r>
      <w:r w:rsidR="00102652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отчетного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года (на 01.01.201</w:t>
      </w:r>
      <w:r w:rsidR="00102652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– </w:t>
      </w:r>
      <w:r w:rsidR="00102652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137,4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млрд. рублей).</w:t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57778B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Просроченная дебиторская задолженность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 начала года </w:t>
      </w:r>
      <w:r w:rsidR="00DB7FF3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сократилась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на </w:t>
      </w:r>
      <w:r w:rsidR="0057778B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19</w:t>
      </w:r>
      <w:r w:rsidR="00DB7FF3" w:rsidRPr="0057778B">
        <w:rPr>
          <w:rFonts w:ascii="Times New Roman" w:eastAsia="Times New Roman" w:hAnsi="Times New Roman" w:cs="Times New Roman"/>
          <w:sz w:val="28"/>
          <w:szCs w:val="20"/>
          <w:lang w:eastAsia="x-none"/>
        </w:rPr>
        <w:t>,4</w:t>
      </w:r>
      <w:r w:rsidRPr="0057778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%, составив </w:t>
      </w:r>
      <w:r w:rsidR="0057778B" w:rsidRPr="00537E6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13,7</w:t>
      </w:r>
      <w:r w:rsidRPr="00537E6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млрд. рублей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или </w:t>
      </w:r>
      <w:r w:rsidR="00DB7FF3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>11,7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% в общем объеме дебиторской задолженности (на 01.01.201</w:t>
      </w:r>
      <w:r w:rsidR="00102652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>6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–</w:t>
      </w:r>
      <w:r w:rsidR="00102652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16,99</w:t>
      </w:r>
      <w:r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млрд. рублей, </w:t>
      </w:r>
      <w:r w:rsidR="00102652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>12,4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%). Почти вся сумма ожидаемых платежей с истекшими сроками погашения приходилась на долги покупателей и заказчиков за товары, работы и услуги </w:t>
      </w:r>
      <w:r w:rsidR="00537E69"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–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="00537E69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>9,6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млрд. рублей (</w:t>
      </w:r>
      <w:r w:rsidR="00537E69" w:rsidRPr="00537E69">
        <w:rPr>
          <w:rFonts w:ascii="Times New Roman" w:eastAsia="Times New Roman" w:hAnsi="Times New Roman" w:cs="Times New Roman"/>
          <w:sz w:val="28"/>
          <w:szCs w:val="20"/>
          <w:lang w:eastAsia="x-none"/>
        </w:rPr>
        <w:t>70,1</w:t>
      </w:r>
      <w:r w:rsidRPr="00537E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%).                                                </w:t>
      </w:r>
    </w:p>
    <w:p w:rsidR="00A745BF" w:rsidRPr="0038709F" w:rsidRDefault="00A745BF" w:rsidP="00A74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4"/>
          <w:szCs w:val="28"/>
          <w:lang w:eastAsia="x-none"/>
        </w:rPr>
      </w:pPr>
    </w:p>
    <w:p w:rsidR="00B44B3E" w:rsidRPr="0038709F" w:rsidRDefault="00B44B3E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8"/>
          <w:szCs w:val="28"/>
          <w:lang w:eastAsia="x-none"/>
        </w:rPr>
      </w:pPr>
    </w:p>
    <w:p w:rsidR="00A745BF" w:rsidRPr="008D4D71" w:rsidRDefault="00A745BF" w:rsidP="0020725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4" w:name="_Toc478641582"/>
      <w:r w:rsidRPr="008D4D71">
        <w:rPr>
          <w:rFonts w:ascii="Times New Roman" w:hAnsi="Times New Roman" w:cs="Times New Roman"/>
          <w:b/>
          <w:color w:val="auto"/>
        </w:rPr>
        <w:t>ИНВЕСТИЦИИ</w:t>
      </w:r>
      <w:bookmarkEnd w:id="14"/>
    </w:p>
    <w:p w:rsidR="00A745BF" w:rsidRPr="008D4D71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8D4D71">
        <w:rPr>
          <w:rFonts w:ascii="Times New Roman" w:eastAsia="Times New Roman" w:hAnsi="Times New Roman" w:cs="Times New Roman"/>
          <w:sz w:val="24"/>
          <w:szCs w:val="28"/>
          <w:lang w:eastAsia="x-none"/>
        </w:rPr>
        <w:t xml:space="preserve">(статистические сведения по состоянию на </w:t>
      </w:r>
      <w:r w:rsidR="008D4D71" w:rsidRPr="008D4D71">
        <w:rPr>
          <w:rFonts w:ascii="Times New Roman" w:eastAsia="Times New Roman" w:hAnsi="Times New Roman" w:cs="Times New Roman"/>
          <w:sz w:val="24"/>
          <w:szCs w:val="28"/>
          <w:lang w:eastAsia="x-none"/>
        </w:rPr>
        <w:t>21.03.2017</w:t>
      </w:r>
      <w:r w:rsidRPr="008D4D71">
        <w:rPr>
          <w:rFonts w:ascii="Times New Roman" w:eastAsia="Times New Roman" w:hAnsi="Times New Roman" w:cs="Times New Roman"/>
          <w:sz w:val="24"/>
          <w:szCs w:val="28"/>
          <w:lang w:eastAsia="x-none"/>
        </w:rPr>
        <w:t>)</w:t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6D6AD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городе Кемерово </w:t>
      </w:r>
      <w:r w:rsidR="008D4D71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AC0DC8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AC0DC8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8D4D71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предварительным данным направлено </w:t>
      </w:r>
      <w:r w:rsidR="009605DC"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30,3</w:t>
      </w:r>
      <w:r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инвестиций в основной капитал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или 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19,3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к объему инвестиций по Кемеровской области. 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отчетн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году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наблюда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лось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снижение инвестиций по городу Кемерово на 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23,7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в сопоставимых ценах к </w:t>
      </w:r>
      <w:r w:rsidR="009605D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уровню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104E2C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5 года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745BF" w:rsidRPr="006D6AD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Объем </w:t>
      </w:r>
      <w:r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инвестиций в основной капитал по крупным и средним предприятиям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уменьшился по предварительным данным на </w:t>
      </w:r>
      <w:r w:rsidR="00780870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17,0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780870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сопоставимых ценах по сравнению с 201</w:t>
      </w:r>
      <w:r w:rsidR="00FD3851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780870"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6D6A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составил </w:t>
      </w:r>
      <w:r w:rsidR="00780870"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16,5</w:t>
      </w:r>
      <w:r w:rsidRPr="006D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млрд. рублей.</w:t>
      </w:r>
    </w:p>
    <w:p w:rsidR="00A745BF" w:rsidRPr="006D6AD2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45BF" w:rsidRPr="009A6250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6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Инвестиции в основной капитал по крупным и средним организациям </w:t>
      </w:r>
    </w:p>
    <w:p w:rsidR="00A745BF" w:rsidRPr="009A6250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6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г. Кемерово, млн. рублей</w:t>
      </w:r>
    </w:p>
    <w:p w:rsidR="00A352E7" w:rsidRPr="0038709F" w:rsidRDefault="00A352E7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A352E7" w:rsidRPr="0038709F" w:rsidRDefault="009A6250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  <w:r w:rsidRPr="00D61BD2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6B924F22" wp14:editId="66F2CCD3">
            <wp:extent cx="5940425" cy="2513330"/>
            <wp:effectExtent l="0" t="0" r="3175" b="0"/>
            <wp:docPr id="23" name="Диаграмм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45BF" w:rsidRPr="002474B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В 201</w:t>
      </w:r>
      <w:r w:rsidR="007E5F62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E55876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E615D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долю предприятий обрабатывающих производств приходилось </w:t>
      </w:r>
      <w:r w:rsidR="00611D38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18,7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(</w:t>
      </w:r>
      <w:r w:rsidR="00E55876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3 077,9</w:t>
      </w:r>
      <w:r w:rsidR="008E55EF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мл</w:t>
      </w:r>
      <w:r w:rsidR="0007730B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. руб</w:t>
      </w:r>
      <w:r w:rsidR="0007730B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) объема инвестиций в основной капитал крупн</w:t>
      </w:r>
      <w:r w:rsidR="00CE615D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ых и средних организаций города, 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872419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том числе,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0EC3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11,0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D70EC3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D70EC3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1 814,0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рублей) – </w:t>
      </w:r>
      <w:r w:rsidR="00CE615D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химическо</w:t>
      </w:r>
      <w:r w:rsidR="00C27FE5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</w:t>
      </w:r>
      <w:r w:rsidR="00C27FE5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CE615D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C5EE7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16,2 % </w:t>
      </w:r>
      <w:r w:rsidR="00DC5E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</w:t>
      </w:r>
      <w:r w:rsidR="00DC5EE7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(2 660,8 млн. рублей) – на операции с недвижимым имуществом</w:t>
      </w:r>
      <w:r w:rsidR="00DC5EE7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DC5EE7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14,4 % (2 373,6 млн. рублей) – на оптовую и розничную торговлю;</w:t>
      </w:r>
      <w:r w:rsidR="00DC5E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70EC3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14,1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</w:t>
      </w:r>
      <w:r w:rsidR="00DC5EE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</w:t>
      </w:r>
      <w:r w:rsidR="00D30F77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D70EC3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2 315,7</w:t>
      </w:r>
      <w:r w:rsidR="00D30F77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рублей) 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C27FE5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817D80"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связь</w:t>
      </w:r>
      <w:r w:rsidR="00DC5EE7">
        <w:rPr>
          <w:rFonts w:ascii="Times New Roman" w:eastAsia="Times New Roman" w:hAnsi="Times New Roman" w:cs="Times New Roman"/>
          <w:sz w:val="28"/>
          <w:szCs w:val="28"/>
          <w:lang w:eastAsia="x-none"/>
        </w:rPr>
        <w:t>; 7,1 % (1 174,7 млн. рублей) – на производство электроэнергии, газа и воды</w:t>
      </w:r>
      <w:r w:rsidRPr="002474B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30F77" w:rsidRPr="0038709F" w:rsidRDefault="00D30F77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731CBC" w:rsidRPr="00DD2D16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Структура инвестиций в основной капитал </w:t>
      </w:r>
    </w:p>
    <w:p w:rsidR="00A745BF" w:rsidRPr="00DD2D16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крупных и средних</w:t>
      </w:r>
      <w:r w:rsidR="00731CBC"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организаций </w:t>
      </w:r>
      <w:r w:rsidR="00DD2D16"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201</w:t>
      </w:r>
      <w:r w:rsidR="00305DDB"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  <w:r w:rsidR="00DD2D16" w:rsidRPr="00DD2D1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</w:p>
    <w:p w:rsidR="00731CBC" w:rsidRPr="0038709F" w:rsidRDefault="00731CBC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A745BF" w:rsidRPr="0038709F" w:rsidRDefault="00A745BF" w:rsidP="008143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BA1B216" wp14:editId="4539CEEF">
            <wp:extent cx="5410200" cy="27051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31CBC" w:rsidRPr="0038709F" w:rsidRDefault="00731CBC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</w:p>
    <w:p w:rsidR="00A745BF" w:rsidRPr="005E3F46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Наибольший объем инвестиций в основной капитал был направлен на приобретение машин, оборудования, транспортных средств, производственный и хозяйственный инвентарь – </w:t>
      </w:r>
      <w:r w:rsidR="00747585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8 649,2 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млн. рублей (</w:t>
      </w:r>
      <w:r w:rsidR="005E3F46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52,6</w:t>
      </w:r>
      <w:r w:rsidR="00F80E02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%), на строительство зданий (кроме жилых) и сооружений – </w:t>
      </w:r>
      <w:r w:rsidR="005E3F46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5 277,7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 (</w:t>
      </w:r>
      <w:r w:rsidR="005E3F46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32,1</w:t>
      </w:r>
      <w:r w:rsidR="00F80E02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%), на жилищное строительство – </w:t>
      </w:r>
      <w:r w:rsidR="005E3F46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2 316,7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 (</w:t>
      </w:r>
      <w:r w:rsidR="005E3F46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14,1</w:t>
      </w:r>
      <w:r w:rsidR="00F80E02"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E3F46">
        <w:rPr>
          <w:rFonts w:ascii="Times New Roman" w:eastAsia="Times New Roman" w:hAnsi="Times New Roman" w:cs="Times New Roman"/>
          <w:sz w:val="28"/>
          <w:szCs w:val="28"/>
          <w:lang w:eastAsia="x-none"/>
        </w:rPr>
        <w:t>%).</w:t>
      </w:r>
    </w:p>
    <w:p w:rsidR="00A745BF" w:rsidRPr="006F21A5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общего объема инвестиций в основной капитал на развитие экономики и социальной сферы крупными и средними организациями города всех форм собственности использовано </w:t>
      </w:r>
      <w:r w:rsidR="006F21A5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56,6</w:t>
      </w:r>
      <w:r w:rsidR="001B0618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за счет собственных средств (</w:t>
      </w:r>
      <w:r w:rsidR="006F21A5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9 309,3</w:t>
      </w: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</w:t>
      </w:r>
      <w:r w:rsidR="001B0618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доля привлеченных средств составила </w:t>
      </w:r>
      <w:r w:rsidR="006F21A5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43,4</w:t>
      </w: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B57E04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proofErr w:type="gramStart"/>
      <w:r w:rsidR="00B57E04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gramEnd"/>
      <w:r w:rsidR="006F21A5"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>7 140,7</w:t>
      </w:r>
      <w:r w:rsidRPr="006F21A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рублей). </w:t>
      </w:r>
    </w:p>
    <w:p w:rsidR="00150AB4" w:rsidRPr="0038709F" w:rsidRDefault="00150AB4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05F19" w:rsidRDefault="00005F19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745BF" w:rsidRPr="00C47755" w:rsidRDefault="00A745BF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Структура инвестиций в основной капитал</w:t>
      </w:r>
    </w:p>
    <w:p w:rsidR="00A745BF" w:rsidRPr="00C47755" w:rsidRDefault="00A745BF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 источникам финансирования </w:t>
      </w:r>
      <w:r w:rsidR="00C47755"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</w:t>
      </w:r>
      <w:r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201</w:t>
      </w:r>
      <w:r w:rsidR="00567B44"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  <w:r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  <w:r w:rsidR="00C47755"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C47755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 млн. рублей</w:t>
      </w:r>
    </w:p>
    <w:p w:rsidR="00150AB4" w:rsidRPr="0038709F" w:rsidRDefault="00150AB4" w:rsidP="008143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A745BF" w:rsidRPr="0038709F" w:rsidRDefault="00A745BF" w:rsidP="008143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5C4719A" wp14:editId="6C47056C">
            <wp:extent cx="5972175" cy="27432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45BF" w:rsidRDefault="00A745BF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5" w:name="_Toc478641583"/>
      <w:r w:rsidRPr="002E17E4">
        <w:rPr>
          <w:rFonts w:ascii="Times New Roman" w:hAnsi="Times New Roman" w:cs="Times New Roman"/>
          <w:b/>
          <w:color w:val="auto"/>
        </w:rPr>
        <w:t>СТРОИТЕЛЬСТВО</w:t>
      </w:r>
      <w:bookmarkEnd w:id="15"/>
    </w:p>
    <w:p w:rsidR="008B4BD4" w:rsidRPr="005B6F13" w:rsidRDefault="008B4BD4" w:rsidP="00E44716">
      <w:pPr>
        <w:spacing w:after="0"/>
        <w:rPr>
          <w:sz w:val="20"/>
        </w:rPr>
      </w:pPr>
    </w:p>
    <w:p w:rsidR="00A745BF" w:rsidRPr="006C326F" w:rsidRDefault="00A745BF" w:rsidP="00814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предварительным данным</w:t>
      </w:r>
      <w:r w:rsidR="00872419"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030DD"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>201</w:t>
      </w:r>
      <w:r w:rsidR="007503D9"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</w:t>
      </w:r>
      <w:r w:rsidR="003030DD"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городе Кемерово </w:t>
      </w:r>
      <w:r w:rsidRPr="002E17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общий объем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выполненных работ по виду деятельности </w:t>
      </w:r>
      <w:r w:rsidRPr="002E17E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«Строительство»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 </w:t>
      </w:r>
      <w:r w:rsidR="002E17E4"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>21,0</w:t>
      </w:r>
      <w:r w:rsidRPr="002E17E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C32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млрд. рублей, что на </w:t>
      </w:r>
      <w:r w:rsidR="002E17E4" w:rsidRPr="006C326F">
        <w:rPr>
          <w:rFonts w:ascii="Times New Roman" w:eastAsia="Times New Roman" w:hAnsi="Times New Roman" w:cs="Times New Roman"/>
          <w:sz w:val="28"/>
          <w:szCs w:val="28"/>
          <w:lang w:eastAsia="x-none"/>
        </w:rPr>
        <w:t>18,9</w:t>
      </w:r>
      <w:r w:rsidRPr="006C32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меньше уровня 201</w:t>
      </w:r>
      <w:r w:rsidR="00525CA6" w:rsidRPr="006C326F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C32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года.</w:t>
      </w:r>
    </w:p>
    <w:p w:rsidR="00A745BF" w:rsidRPr="006C326F" w:rsidRDefault="007136D5" w:rsidP="008143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празднованию Дня Шахтера в Кемерове и</w:t>
      </w:r>
      <w:r w:rsidR="00A745B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бюджетов всех уровней на строительство, реконструкцию и капитальный ремонт объектов социальной сферы были выделены средства в размере </w:t>
      </w:r>
      <w:r w:rsidR="006C326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>1 288,6</w:t>
      </w:r>
      <w:r w:rsidR="00F3378C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в </w:t>
      </w:r>
      <w:r w:rsidR="006C326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F3378C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</w:t>
      </w:r>
      <w:r w:rsidR="00A745B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уровня </w:t>
      </w:r>
      <w:r w:rsidR="00525CA6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745B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C326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>712,7</w:t>
      </w:r>
      <w:r w:rsidR="00A745B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  <w:r w:rsidR="006C326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объем капитальных вложений по программам, курируемым управлением городского развития, посредством субсидирования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составил 830,1 млн. рублей </w:t>
      </w:r>
      <w:r w:rsidR="006C326F" w:rsidRPr="006C3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год – 1 662,3 млн. рублей). </w:t>
      </w:r>
    </w:p>
    <w:p w:rsidR="00A745BF" w:rsidRPr="00915883" w:rsidRDefault="00915883" w:rsidP="000A1A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09AE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Кемерово в 2016 году о</w:t>
      </w:r>
      <w:r w:rsidR="00A745BF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тмечен рост объемов финансирования на строительство, реконструкцию и капитальный ремонт объектов 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20 раз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годичной давности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молодежной политики – в 3,9 раза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BF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12C1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312C1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– в </w:t>
      </w:r>
      <w:r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0A1AA7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</w:t>
      </w:r>
      <w:r w:rsidR="000F09AE" w:rsidRPr="0091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365A" w:rsidRPr="007D4B43" w:rsidRDefault="0053365A" w:rsidP="0053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D4B43">
        <w:rPr>
          <w:rFonts w:ascii="Times New Roman" w:eastAsia="Times New Roman" w:hAnsi="Times New Roman" w:cs="Times New Roman"/>
          <w:sz w:val="28"/>
          <w:szCs w:val="28"/>
          <w:lang w:eastAsia="x-none"/>
        </w:rPr>
        <w:t>С целью повышения общей пропускной способности школ и детских дошкольных учреждений, обеспечения микрорайонов комплексной застройки объектами социальной сферы в 2016 году завершено строительство и введены в эксплуатацию:</w:t>
      </w:r>
    </w:p>
    <w:p w:rsidR="0053365A" w:rsidRPr="007D4B43" w:rsidRDefault="0053365A" w:rsidP="0053365A">
      <w:pPr>
        <w:pStyle w:val="a5"/>
        <w:ind w:left="0" w:firstLine="720"/>
        <w:jc w:val="both"/>
        <w:rPr>
          <w:sz w:val="28"/>
          <w:szCs w:val="28"/>
        </w:rPr>
      </w:pPr>
      <w:r w:rsidRPr="007D4B43">
        <w:rPr>
          <w:sz w:val="28"/>
          <w:szCs w:val="28"/>
        </w:rPr>
        <w:t>-  дополнительн</w:t>
      </w:r>
      <w:r w:rsidR="007136D5">
        <w:rPr>
          <w:sz w:val="28"/>
          <w:szCs w:val="28"/>
        </w:rPr>
        <w:t>ый</w:t>
      </w:r>
      <w:r w:rsidRPr="007D4B43">
        <w:rPr>
          <w:sz w:val="28"/>
          <w:szCs w:val="28"/>
        </w:rPr>
        <w:t xml:space="preserve"> 2-х этажн</w:t>
      </w:r>
      <w:r w:rsidR="007136D5">
        <w:rPr>
          <w:sz w:val="28"/>
          <w:szCs w:val="28"/>
        </w:rPr>
        <w:t>ый</w:t>
      </w:r>
      <w:r w:rsidRPr="007D4B43">
        <w:rPr>
          <w:sz w:val="28"/>
          <w:szCs w:val="28"/>
        </w:rPr>
        <w:t xml:space="preserve"> блок начальной школы на 300 мест к МБОУ «СОШ № 34» по адресу: г. Кемерово, пр. Шахтеров, 105;</w:t>
      </w:r>
    </w:p>
    <w:p w:rsidR="0053365A" w:rsidRDefault="0053365A" w:rsidP="0053365A">
      <w:pPr>
        <w:pStyle w:val="a5"/>
        <w:ind w:left="0" w:firstLine="720"/>
        <w:jc w:val="both"/>
        <w:rPr>
          <w:sz w:val="28"/>
          <w:szCs w:val="28"/>
        </w:rPr>
      </w:pPr>
      <w:r w:rsidRPr="007D4B43">
        <w:rPr>
          <w:sz w:val="28"/>
          <w:szCs w:val="28"/>
        </w:rPr>
        <w:t>- II очеред</w:t>
      </w:r>
      <w:r w:rsidR="007136D5">
        <w:rPr>
          <w:sz w:val="28"/>
          <w:szCs w:val="28"/>
        </w:rPr>
        <w:t>ь</w:t>
      </w:r>
      <w:r w:rsidRPr="007D4B43">
        <w:rPr>
          <w:sz w:val="28"/>
          <w:szCs w:val="28"/>
        </w:rPr>
        <w:t xml:space="preserve"> общеобразовательной школы на 825 мест со спортзалом и плавательным бассейном в ж. р. Лесная </w:t>
      </w:r>
      <w:r w:rsidRPr="004A2402">
        <w:rPr>
          <w:sz w:val="28"/>
          <w:szCs w:val="28"/>
        </w:rPr>
        <w:t>Поляна</w:t>
      </w:r>
      <w:r>
        <w:rPr>
          <w:sz w:val="28"/>
          <w:szCs w:val="28"/>
        </w:rPr>
        <w:t>;</w:t>
      </w:r>
    </w:p>
    <w:p w:rsidR="0053365A" w:rsidRPr="0038709F" w:rsidRDefault="0053365A" w:rsidP="0053365A">
      <w:pPr>
        <w:pStyle w:val="a5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402">
        <w:rPr>
          <w:sz w:val="28"/>
          <w:szCs w:val="28"/>
        </w:rPr>
        <w:t>детск</w:t>
      </w:r>
      <w:r w:rsidR="007136D5">
        <w:rPr>
          <w:sz w:val="28"/>
          <w:szCs w:val="28"/>
        </w:rPr>
        <w:t xml:space="preserve">ая </w:t>
      </w:r>
      <w:r w:rsidRPr="004A2402">
        <w:rPr>
          <w:sz w:val="28"/>
          <w:szCs w:val="28"/>
        </w:rPr>
        <w:t>поликлиник</w:t>
      </w:r>
      <w:r w:rsidR="007136D5">
        <w:rPr>
          <w:sz w:val="28"/>
          <w:szCs w:val="28"/>
        </w:rPr>
        <w:t>а</w:t>
      </w:r>
      <w:r w:rsidRPr="004A2402">
        <w:rPr>
          <w:sz w:val="28"/>
          <w:szCs w:val="28"/>
        </w:rPr>
        <w:t xml:space="preserve"> на 150 посещений в смену в ж. р. Лесная Поляна</w:t>
      </w:r>
      <w:r>
        <w:rPr>
          <w:sz w:val="28"/>
          <w:szCs w:val="28"/>
        </w:rPr>
        <w:t>.</w:t>
      </w:r>
    </w:p>
    <w:p w:rsidR="0053365A" w:rsidRDefault="00A474FF" w:rsidP="0053365A">
      <w:pPr>
        <w:pStyle w:val="a5"/>
        <w:ind w:left="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4A2402">
        <w:rPr>
          <w:sz w:val="28"/>
          <w:szCs w:val="28"/>
        </w:rPr>
        <w:t>авершен капитальн</w:t>
      </w:r>
      <w:r>
        <w:rPr>
          <w:sz w:val="28"/>
          <w:szCs w:val="28"/>
        </w:rPr>
        <w:t>ый</w:t>
      </w:r>
      <w:r w:rsidRPr="004A2402">
        <w:rPr>
          <w:sz w:val="28"/>
          <w:szCs w:val="28"/>
        </w:rPr>
        <w:t xml:space="preserve"> ремонт поликлиники для взрослых </w:t>
      </w:r>
      <w:r w:rsidR="007136D5">
        <w:rPr>
          <w:sz w:val="28"/>
          <w:szCs w:val="28"/>
        </w:rPr>
        <w:t xml:space="preserve">                           </w:t>
      </w:r>
      <w:r w:rsidRPr="004A2402">
        <w:rPr>
          <w:sz w:val="28"/>
          <w:szCs w:val="28"/>
        </w:rPr>
        <w:t xml:space="preserve">МБУЗ «Городская </w:t>
      </w:r>
      <w:r w:rsidRPr="006D6BEA">
        <w:rPr>
          <w:sz w:val="28"/>
          <w:szCs w:val="28"/>
        </w:rPr>
        <w:t xml:space="preserve">клиническая больница № 11» в ж. р. Кедровка, Промышленновский, МБУ «Центр социальной адаптации населения» по                    ул. </w:t>
      </w:r>
      <w:proofErr w:type="spellStart"/>
      <w:r w:rsidRPr="006D6BEA">
        <w:rPr>
          <w:sz w:val="28"/>
          <w:szCs w:val="28"/>
        </w:rPr>
        <w:t>Предзаводская</w:t>
      </w:r>
      <w:proofErr w:type="spellEnd"/>
      <w:r w:rsidRPr="006D6BEA">
        <w:rPr>
          <w:sz w:val="28"/>
          <w:szCs w:val="28"/>
        </w:rPr>
        <w:t>, 6, туалетных комнат в МБОУ «Средняя общеобразовательная школа № 15», кровли МБДОУ № 154, электрических сетей в МБУЗ «Городская инфекционная клиническая больница № 8», кровли с усилением несущих конструкций и замена перекрытия в специальной общеобразовательной школе-интернате № 27, фасада здания по                                просп. Советский, 54, а также завершен</w:t>
      </w:r>
      <w:r w:rsidR="007136D5">
        <w:rPr>
          <w:sz w:val="28"/>
          <w:szCs w:val="28"/>
        </w:rPr>
        <w:t>ы</w:t>
      </w:r>
      <w:r w:rsidRPr="006D6BEA">
        <w:rPr>
          <w:sz w:val="28"/>
          <w:szCs w:val="28"/>
        </w:rPr>
        <w:t xml:space="preserve"> работ</w:t>
      </w:r>
      <w:r w:rsidR="007136D5">
        <w:rPr>
          <w:sz w:val="28"/>
          <w:szCs w:val="28"/>
        </w:rPr>
        <w:t>ы</w:t>
      </w:r>
      <w:r w:rsidRPr="006D6BEA">
        <w:rPr>
          <w:sz w:val="28"/>
          <w:szCs w:val="28"/>
        </w:rPr>
        <w:t xml:space="preserve"> по изготовлению и установке решеток ограждения МАОУ ДОД «Детско-юношеская спортивная школа </w:t>
      </w:r>
      <w:r w:rsidR="007136D5">
        <w:rPr>
          <w:sz w:val="28"/>
          <w:szCs w:val="28"/>
        </w:rPr>
        <w:t xml:space="preserve">                  </w:t>
      </w:r>
      <w:r w:rsidRPr="006D6BEA">
        <w:rPr>
          <w:sz w:val="28"/>
          <w:szCs w:val="28"/>
        </w:rPr>
        <w:t>№ 5».</w:t>
      </w:r>
    </w:p>
    <w:p w:rsidR="00A474FF" w:rsidRPr="00A474FF" w:rsidRDefault="00A474FF" w:rsidP="00A474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r w:rsidRPr="00A47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продолжено строительство детского сада на 350 мест с бассейном – начальная школа в ж. р. Лесная поляна, микрорайон № 2; ботанического сада в ж. р. Лесная Поляна и детского сада на 280 мест с бассейном в микрорайоне № 12 Рудничного района.</w:t>
      </w:r>
    </w:p>
    <w:p w:rsidR="0053365A" w:rsidRPr="00B53DF3" w:rsidRDefault="0053365A" w:rsidP="0053365A">
      <w:pPr>
        <w:pStyle w:val="a5"/>
        <w:ind w:left="0" w:firstLine="720"/>
        <w:jc w:val="both"/>
        <w:rPr>
          <w:sz w:val="28"/>
          <w:szCs w:val="28"/>
        </w:rPr>
      </w:pPr>
      <w:r w:rsidRPr="0053365A">
        <w:rPr>
          <w:sz w:val="28"/>
          <w:szCs w:val="28"/>
        </w:rPr>
        <w:t xml:space="preserve">Завершены работы по проектированию строительства общеобразовательной школы № 31 на 1 050 мест с бассейном в микрорайоне             № </w:t>
      </w:r>
      <w:r w:rsidRPr="00B53DF3">
        <w:rPr>
          <w:sz w:val="28"/>
          <w:szCs w:val="28"/>
        </w:rPr>
        <w:t>12 Рудничного района.</w:t>
      </w:r>
    </w:p>
    <w:p w:rsidR="00C7076C" w:rsidRPr="00B53DF3" w:rsidRDefault="00B53DF3" w:rsidP="00B53D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проекты капитального ремонта помещений для размещения 4 дополнительных дошкольных групп в МБДОУ № 44 и МБДОУ № 118, несущих конструкций крыши и замены кровли в МБОУ «Гимназия № 1» (дошкольная ступень).</w:t>
      </w:r>
    </w:p>
    <w:p w:rsidR="00D8703A" w:rsidRPr="00D8703A" w:rsidRDefault="00D8703A" w:rsidP="00A207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Завершено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строительств</w:t>
      </w: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объекта «О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бъездн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автомобильн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дорог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в ж.</w:t>
      </w:r>
      <w:r w:rsidR="008C054A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р. Лесная Поляна. Пусковой комплекс №</w:t>
      </w:r>
      <w:r w:rsidR="008C054A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D2179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2 (участок от ПК 4+00 до ПК 6+50)»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кольцевой транс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портной развязки на пересечении: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просп. Советский –</w:t>
      </w:r>
      <w:r w:rsidR="005F3321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ул. </w:t>
      </w:r>
      <w:proofErr w:type="spellStart"/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Карболитовская</w:t>
      </w:r>
      <w:proofErr w:type="spellEnd"/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ул. </w:t>
      </w:r>
      <w:proofErr w:type="spellStart"/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Щетинкина</w:t>
      </w:r>
      <w:proofErr w:type="spellEnd"/>
      <w:r w:rsidR="00EA2933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кроме того, </w:t>
      </w: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выполнено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уширени</w:t>
      </w: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ул. Красноармейская на пересечении с ул. </w:t>
      </w:r>
      <w:proofErr w:type="spellStart"/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Карболитовская</w:t>
      </w:r>
      <w:proofErr w:type="spellEnd"/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 устройством дополнительной полосы движения и устройством </w:t>
      </w:r>
      <w:r w:rsidR="004A2797" w:rsidRPr="00D8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светофорного объекта</w:t>
      </w:r>
      <w:r w:rsidR="005F3321" w:rsidRPr="00D870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933" w:rsidRPr="00D87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строительство 2-го переулка Авроры от просп. Шахтеров до                     ул. Серебряный бор в микрорайоне № 12 Рудничного района.</w:t>
      </w:r>
    </w:p>
    <w:p w:rsidR="00D8703A" w:rsidRDefault="00D573E9" w:rsidP="00D870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3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Дня Шахтера в г. Кемерово в 2016 году за счет софинансирования из средств областного и городского бюджетов выполнено с</w:t>
      </w:r>
      <w:r w:rsidR="00D8703A" w:rsidRPr="00D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троительством пересечения автомобильной дороги между улицей </w:t>
      </w:r>
      <w:r w:rsidRPr="00D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8703A" w:rsidRPr="00D573E9">
        <w:rPr>
          <w:rFonts w:ascii="Times New Roman" w:eastAsia="Times New Roman" w:hAnsi="Times New Roman" w:cs="Times New Roman"/>
          <w:sz w:val="28"/>
          <w:szCs w:val="28"/>
          <w:lang w:eastAsia="ru-RU"/>
        </w:rPr>
        <w:t>Ю. Двужильного и просп. Молодежный (железнодорожного переезда).</w:t>
      </w:r>
      <w:r w:rsidR="00D3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03A" w:rsidRPr="000675CC" w:rsidRDefault="000675CC" w:rsidP="00A207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выполнены работы по проектированию улиц в восточно-планировочном районе.</w:t>
      </w:r>
    </w:p>
    <w:p w:rsidR="00732488" w:rsidRPr="006E30B3" w:rsidRDefault="006E30B3" w:rsidP="00A207F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45BF"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управления архитектуры и градостроительства администрации города Кемерово проведены мероприятия по утверждению </w:t>
      </w:r>
      <w:r w:rsidR="00116D1E"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по планировке </w:t>
      </w:r>
      <w:r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16D1E"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1EA8" w:rsidRPr="006E3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B98" w:rsidRPr="006E30B3" w:rsidRDefault="00B02B98" w:rsidP="00B02B98">
      <w:pPr>
        <w:pStyle w:val="2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A745BF" w:rsidRPr="007F2D41" w:rsidRDefault="00A745BF" w:rsidP="00B02B98">
      <w:pPr>
        <w:pStyle w:val="2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  <w:bookmarkStart w:id="16" w:name="_Toc460329956"/>
      <w:bookmarkStart w:id="17" w:name="_Toc478641584"/>
      <w:r w:rsidRPr="007F2D41"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  <w:t>Жилищное строительство и обеспечение жильем</w:t>
      </w:r>
      <w:bookmarkEnd w:id="16"/>
      <w:bookmarkEnd w:id="17"/>
    </w:p>
    <w:p w:rsidR="00A745BF" w:rsidRPr="007F2D41" w:rsidRDefault="00A745BF" w:rsidP="00B02B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D68" w:rsidRDefault="007F2D41" w:rsidP="00BE6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1B0E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1B0E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 w:rsidR="002063E9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5 583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321,</w:t>
      </w:r>
      <w:r w:rsidR="00AC1B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м, что на 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27B" w:rsidRPr="007F2D41">
        <w:rPr>
          <w:rFonts w:ascii="Times New Roman" w:eastAsia="Times New Roman" w:hAnsi="Times New Roman"/>
          <w:sz w:val="28"/>
          <w:szCs w:val="28"/>
          <w:lang w:eastAsia="ru-RU"/>
        </w:rPr>
        <w:t xml:space="preserve">(в Кемеровской </w:t>
      </w:r>
      <w:r w:rsidR="00B1727B" w:rsidRPr="007F2D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 введен</w:t>
      </w:r>
      <w:r w:rsidR="00AC1B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27B" w:rsidRPr="007F2D4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16 759</w:t>
      </w:r>
      <w:r w:rsidR="00184019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B1727B" w:rsidRPr="007F2D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AC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1 090,5 </w:t>
      </w:r>
      <w:r w:rsidR="00B1727B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B1727B" w:rsidRPr="007F2D41">
        <w:rPr>
          <w:rFonts w:ascii="Times New Roman" w:eastAsia="Times New Roman" w:hAnsi="Times New Roman"/>
          <w:sz w:val="28"/>
          <w:szCs w:val="28"/>
          <w:lang w:eastAsia="ru-RU"/>
        </w:rPr>
        <w:t>. кв. м)</w:t>
      </w:r>
      <w:r w:rsidR="00A745BF" w:rsidRPr="007F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BE0" w:rsidRPr="007F2D41" w:rsidRDefault="00AC1BE0" w:rsidP="00BE6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BE0" w:rsidRDefault="00AC1BE0" w:rsidP="00AC1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1B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9DF2FC" wp14:editId="097F71E3">
            <wp:extent cx="5940425" cy="273304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C1BE0" w:rsidRDefault="00AC1BE0" w:rsidP="00AC1B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717B" w:rsidRPr="00E00E89" w:rsidRDefault="0085717B" w:rsidP="00AC1B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остается строительство индивидуальных жилых домов. 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Кемерово индивидуальными застройщиками за счет собственных и заемных средств построено </w:t>
      </w:r>
      <w:r w:rsidR="00E00E89" w:rsidRPr="00E00E89">
        <w:rPr>
          <w:rFonts w:ascii="Times New Roman" w:eastAsia="Times New Roman" w:hAnsi="Times New Roman"/>
          <w:sz w:val="28"/>
          <w:szCs w:val="28"/>
          <w:lang w:eastAsia="ru-RU"/>
        </w:rPr>
        <w:t>208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2AF6" w:rsidRPr="00E00E89">
        <w:rPr>
          <w:rFonts w:ascii="Times New Roman" w:eastAsia="Times New Roman" w:hAnsi="Times New Roman"/>
          <w:sz w:val="28"/>
          <w:szCs w:val="28"/>
          <w:lang w:eastAsia="ru-RU"/>
        </w:rPr>
        <w:t>домов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A875A2"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00E89" w:rsidRPr="00E00E89">
        <w:rPr>
          <w:rFonts w:ascii="Times New Roman" w:eastAsia="Times New Roman" w:hAnsi="Times New Roman"/>
          <w:sz w:val="28"/>
          <w:szCs w:val="28"/>
          <w:lang w:eastAsia="ru-RU"/>
        </w:rPr>
        <w:t>30,3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м. Доля индивидуального жилья в общем вводе по городу Кемерово составила </w:t>
      </w:r>
      <w:r w:rsid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9,4 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D1EA8"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2015 год</w:t>
      </w:r>
      <w:r w:rsidR="00E00E89" w:rsidRPr="00E00E8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1EA8"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175BB">
        <w:rPr>
          <w:rFonts w:ascii="Times New Roman" w:eastAsia="Times New Roman" w:hAnsi="Times New Roman"/>
          <w:sz w:val="28"/>
          <w:szCs w:val="28"/>
          <w:lang w:eastAsia="ru-RU"/>
        </w:rPr>
        <w:t>6,1</w:t>
      </w:r>
      <w:r w:rsidR="005D1EA8" w:rsidRPr="00E00E89">
        <w:rPr>
          <w:rFonts w:ascii="Times New Roman" w:eastAsia="Times New Roman" w:hAnsi="Times New Roman"/>
          <w:sz w:val="28"/>
          <w:szCs w:val="28"/>
          <w:lang w:eastAsia="ru-RU"/>
        </w:rPr>
        <w:t xml:space="preserve"> %)</w:t>
      </w:r>
      <w:r w:rsidRPr="00E00E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0305" w:rsidRPr="002C0305" w:rsidRDefault="002C0305" w:rsidP="00AC1B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квартирами льготных категорий граждан по федеральным, областным целевым программам в 2016 году пост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оены два жилых дома в микрорайоне «Антипова» Рудничного района на 358 квартир, из которых 257 квартир – для социально незащищенных категорий граждан. </w:t>
      </w:r>
    </w:p>
    <w:p w:rsidR="00D56466" w:rsidRPr="002E77B7" w:rsidRDefault="00A745BF" w:rsidP="00AC1BE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B00F2" w:rsidRPr="00212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завершена </w:t>
      </w:r>
      <w:r w:rsidR="00D56466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</w:t>
      </w:r>
      <w:r w:rsidR="00D56466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«Переселение граждан города Кемерово из домов, признанных в установленном порядке аварийными и подлежащими сносу»</w:t>
      </w:r>
      <w:r w:rsidR="00713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466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снесено 1</w:t>
      </w:r>
      <w:r w:rsidR="00212ECA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6466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аварийных дом</w:t>
      </w:r>
      <w:r w:rsidR="00F9418D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12ECA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году – 10 домов)</w:t>
      </w:r>
      <w:r w:rsidR="00C46E82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79B" w:rsidRPr="00B0230C" w:rsidRDefault="002063E9" w:rsidP="00BE69A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0379B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администрации города Кемерово</w:t>
      </w:r>
      <w:r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7B7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>1 410</w:t>
      </w:r>
      <w:r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получили жилые помещения и улучшили свои жилищные условия</w:t>
      </w:r>
      <w:r w:rsidR="00C0379B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C0379B" w:rsidRPr="002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C0379B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2E77B7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>1 390</w:t>
      </w:r>
      <w:r w:rsidR="00C0379B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семей).</w:t>
      </w:r>
    </w:p>
    <w:p w:rsidR="00A745BF" w:rsidRPr="009640EC" w:rsidRDefault="001D46A8" w:rsidP="00BE69A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56</w:t>
      </w:r>
      <w:r w:rsidR="00A745BF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B6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B3039C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745BF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льготных категорий граждан получили льготные займы из областного бюджета, 38 семей получили </w:t>
      </w:r>
      <w:r w:rsidR="00A745BF"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 из </w:t>
      </w:r>
      <w:r w:rsidRPr="00B0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для приобретения </w:t>
      </w:r>
      <w:r w:rsidRPr="00B0230C">
        <w:rPr>
          <w:rFonts w:ascii="Times New Roman" w:hAnsi="Times New Roman"/>
          <w:sz w:val="28"/>
          <w:szCs w:val="28"/>
        </w:rPr>
        <w:t xml:space="preserve">жилья в строящихся жилых домах, </w:t>
      </w:r>
      <w:r w:rsidRPr="009640EC">
        <w:rPr>
          <w:rFonts w:ascii="Times New Roman" w:hAnsi="Times New Roman"/>
          <w:sz w:val="28"/>
          <w:szCs w:val="28"/>
        </w:rPr>
        <w:t>16 семей</w:t>
      </w:r>
      <w:r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социальные выплаты из 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города Кемерово на оплату первоначального взноса для приобретения квартир </w:t>
      </w:r>
      <w:r w:rsidR="00B0230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 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230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48B6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0230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0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30</w:t>
      </w:r>
      <w:r w:rsidR="00B3039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30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льготных займов и социальных выплат</w:t>
      </w:r>
      <w:r w:rsidR="00B3039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городского и областного бюджетов</w:t>
      </w:r>
      <w:r w:rsidR="00A745BF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45BF" w:rsidRPr="009640EC" w:rsidRDefault="00A745BF" w:rsidP="00A745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9640E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640E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EC"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Pr="0096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включены в списки граждан, имеющих право на приобретение жилья экономического класса.</w:t>
      </w:r>
    </w:p>
    <w:p w:rsidR="00EE0A92" w:rsidRPr="00FC7C20" w:rsidRDefault="00FC7C20" w:rsidP="00EE0A92">
      <w:pPr>
        <w:pStyle w:val="a5"/>
        <w:ind w:left="0" w:firstLine="709"/>
        <w:jc w:val="both"/>
        <w:rPr>
          <w:sz w:val="28"/>
          <w:szCs w:val="28"/>
        </w:rPr>
      </w:pPr>
      <w:r w:rsidRPr="009640EC">
        <w:rPr>
          <w:sz w:val="28"/>
          <w:szCs w:val="28"/>
        </w:rPr>
        <w:t>В</w:t>
      </w:r>
      <w:r w:rsidR="00EE0A92" w:rsidRPr="009640EC">
        <w:rPr>
          <w:sz w:val="28"/>
          <w:szCs w:val="28"/>
        </w:rPr>
        <w:t xml:space="preserve"> 2016 год</w:t>
      </w:r>
      <w:r w:rsidRPr="009640EC">
        <w:rPr>
          <w:sz w:val="28"/>
          <w:szCs w:val="28"/>
        </w:rPr>
        <w:t>у</w:t>
      </w:r>
      <w:r w:rsidR="00EE0A92" w:rsidRPr="009640EC">
        <w:rPr>
          <w:sz w:val="28"/>
          <w:szCs w:val="28"/>
        </w:rPr>
        <w:t xml:space="preserve"> </w:t>
      </w:r>
      <w:r w:rsidRPr="009640EC">
        <w:rPr>
          <w:sz w:val="28"/>
          <w:szCs w:val="28"/>
        </w:rPr>
        <w:t>36</w:t>
      </w:r>
      <w:r w:rsidR="00520938" w:rsidRPr="009640EC">
        <w:rPr>
          <w:sz w:val="28"/>
          <w:szCs w:val="28"/>
        </w:rPr>
        <w:t xml:space="preserve"> сем</w:t>
      </w:r>
      <w:r w:rsidRPr="009640EC">
        <w:rPr>
          <w:sz w:val="28"/>
          <w:szCs w:val="28"/>
        </w:rPr>
        <w:t>ей</w:t>
      </w:r>
      <w:r w:rsidR="00EE0A92" w:rsidRPr="009640EC">
        <w:rPr>
          <w:sz w:val="28"/>
          <w:szCs w:val="28"/>
        </w:rPr>
        <w:t xml:space="preserve"> заключили договоры участия в долевом строительстве жилья экономического класса</w:t>
      </w:r>
      <w:r w:rsidR="00EE0A92" w:rsidRPr="00FC7C20">
        <w:rPr>
          <w:sz w:val="28"/>
          <w:szCs w:val="28"/>
        </w:rPr>
        <w:t>.</w:t>
      </w:r>
    </w:p>
    <w:p w:rsidR="00EE0A92" w:rsidRPr="005535CB" w:rsidRDefault="00A745BF" w:rsidP="00EE0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Федеральным законом</w:t>
      </w:r>
      <w:r w:rsidRPr="0055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24.11.1995 № 181-ФЗ </w:t>
      </w:r>
      <w:r w:rsidR="00825EDC"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25EDC"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защите инвалидов в Российской Федерации» и Федеральным законом от 12.01.1995 № 5-ФЗ «О ветеранах» </w:t>
      </w:r>
      <w:r w:rsidR="00EE0A92" w:rsidRPr="0055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EE0A92" w:rsidRPr="005535CB">
        <w:rPr>
          <w:rFonts w:ascii="Times New Roman" w:hAnsi="Times New Roman"/>
          <w:sz w:val="28"/>
          <w:szCs w:val="28"/>
        </w:rPr>
        <w:t>обеспеч</w:t>
      </w:r>
      <w:r w:rsidR="005535CB" w:rsidRPr="005535CB">
        <w:rPr>
          <w:rFonts w:ascii="Times New Roman" w:hAnsi="Times New Roman"/>
          <w:sz w:val="28"/>
          <w:szCs w:val="28"/>
        </w:rPr>
        <w:t>ено</w:t>
      </w:r>
      <w:r w:rsidR="007136D5">
        <w:rPr>
          <w:rFonts w:ascii="Times New Roman" w:hAnsi="Times New Roman"/>
          <w:sz w:val="28"/>
          <w:szCs w:val="28"/>
        </w:rPr>
        <w:t xml:space="preserve"> жилыми помещениями</w:t>
      </w:r>
      <w:r w:rsidR="00EE0A92" w:rsidRPr="005535CB">
        <w:rPr>
          <w:rFonts w:ascii="Times New Roman" w:hAnsi="Times New Roman"/>
          <w:sz w:val="28"/>
          <w:szCs w:val="28"/>
        </w:rPr>
        <w:t xml:space="preserve"> 23 очередника, из них 1</w:t>
      </w:r>
      <w:r w:rsidR="00825EDC" w:rsidRPr="005535CB">
        <w:rPr>
          <w:rFonts w:ascii="Times New Roman" w:hAnsi="Times New Roman"/>
          <w:sz w:val="28"/>
          <w:szCs w:val="28"/>
        </w:rPr>
        <w:t>3</w:t>
      </w:r>
      <w:r w:rsidR="00EE0A92" w:rsidRPr="005535CB">
        <w:rPr>
          <w:rFonts w:ascii="Times New Roman" w:hAnsi="Times New Roman"/>
          <w:sz w:val="28"/>
          <w:szCs w:val="28"/>
        </w:rPr>
        <w:t xml:space="preserve"> – инвалидов, </w:t>
      </w:r>
      <w:r w:rsidR="00825EDC" w:rsidRPr="005535CB">
        <w:rPr>
          <w:rFonts w:ascii="Times New Roman" w:hAnsi="Times New Roman"/>
          <w:sz w:val="28"/>
          <w:szCs w:val="28"/>
        </w:rPr>
        <w:t>10</w:t>
      </w:r>
      <w:r w:rsidR="00EE0A92" w:rsidRPr="005535CB">
        <w:rPr>
          <w:rFonts w:ascii="Times New Roman" w:hAnsi="Times New Roman"/>
          <w:sz w:val="28"/>
          <w:szCs w:val="28"/>
        </w:rPr>
        <w:t xml:space="preserve"> – ветеранов боевых действий. Для обеспечения жильем данной категории граждан приобретено 17 квартир за счет средств 2016 года, на </w:t>
      </w:r>
      <w:r w:rsidR="0086576E" w:rsidRPr="005535CB">
        <w:rPr>
          <w:rFonts w:ascii="Times New Roman" w:hAnsi="Times New Roman"/>
          <w:sz w:val="28"/>
          <w:szCs w:val="28"/>
        </w:rPr>
        <w:t xml:space="preserve">приобретение </w:t>
      </w:r>
      <w:r w:rsidR="00EE0A92" w:rsidRPr="005535CB">
        <w:rPr>
          <w:rFonts w:ascii="Times New Roman" w:hAnsi="Times New Roman"/>
          <w:sz w:val="28"/>
          <w:szCs w:val="28"/>
        </w:rPr>
        <w:t xml:space="preserve">6 квартир </w:t>
      </w:r>
      <w:r w:rsidR="00825EDC" w:rsidRPr="005535CB">
        <w:rPr>
          <w:rFonts w:ascii="Times New Roman" w:hAnsi="Times New Roman"/>
          <w:sz w:val="28"/>
          <w:szCs w:val="28"/>
        </w:rPr>
        <w:t xml:space="preserve">муниципальные контракты </w:t>
      </w:r>
      <w:r w:rsidR="00EE0A92" w:rsidRPr="005535CB">
        <w:rPr>
          <w:rFonts w:ascii="Times New Roman" w:hAnsi="Times New Roman"/>
          <w:sz w:val="28"/>
          <w:szCs w:val="28"/>
        </w:rPr>
        <w:t>были заключены в 2015 году (частичное финансирование за счет средств 2016 г</w:t>
      </w:r>
      <w:r w:rsidR="0086576E" w:rsidRPr="005535CB">
        <w:rPr>
          <w:rFonts w:ascii="Times New Roman" w:hAnsi="Times New Roman"/>
          <w:sz w:val="28"/>
          <w:szCs w:val="28"/>
        </w:rPr>
        <w:t>ода</w:t>
      </w:r>
      <w:r w:rsidR="00EE0A92" w:rsidRPr="005535CB">
        <w:rPr>
          <w:rFonts w:ascii="Times New Roman" w:hAnsi="Times New Roman"/>
          <w:sz w:val="28"/>
          <w:szCs w:val="28"/>
        </w:rPr>
        <w:t xml:space="preserve">). </w:t>
      </w:r>
    </w:p>
    <w:p w:rsidR="005D1EA8" w:rsidRDefault="00A745BF" w:rsidP="00D564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ветеран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 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FE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DC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реализован</w:t>
      </w:r>
      <w:r w:rsidR="00FE1E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5EDC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81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о праве на получение единовременной денежной выплаты на приобретение, строительство жилья; </w:t>
      </w:r>
      <w:r w:rsidR="00F47E0D" w:rsidRPr="00180681">
        <w:rPr>
          <w:rFonts w:ascii="Times New Roman" w:hAnsi="Times New Roman"/>
          <w:sz w:val="28"/>
          <w:szCs w:val="28"/>
        </w:rPr>
        <w:t>приобретен</w:t>
      </w:r>
      <w:r w:rsidR="00180681" w:rsidRPr="00180681">
        <w:rPr>
          <w:rFonts w:ascii="Times New Roman" w:hAnsi="Times New Roman"/>
          <w:sz w:val="28"/>
          <w:szCs w:val="28"/>
        </w:rPr>
        <w:t>о</w:t>
      </w:r>
      <w:r w:rsidR="00F47E0D" w:rsidRPr="00180681">
        <w:rPr>
          <w:rFonts w:ascii="Times New Roman" w:hAnsi="Times New Roman"/>
          <w:sz w:val="28"/>
          <w:szCs w:val="28"/>
        </w:rPr>
        <w:t xml:space="preserve"> </w:t>
      </w:r>
      <w:r w:rsidR="004879BB" w:rsidRPr="00180681">
        <w:rPr>
          <w:rFonts w:ascii="Times New Roman" w:hAnsi="Times New Roman"/>
          <w:sz w:val="28"/>
          <w:szCs w:val="28"/>
        </w:rPr>
        <w:t>1</w:t>
      </w:r>
      <w:r w:rsidR="00180681" w:rsidRPr="00180681">
        <w:rPr>
          <w:rFonts w:ascii="Times New Roman" w:hAnsi="Times New Roman"/>
          <w:sz w:val="28"/>
          <w:szCs w:val="28"/>
        </w:rPr>
        <w:t>45</w:t>
      </w:r>
      <w:r w:rsidR="00F47E0D" w:rsidRPr="00180681">
        <w:rPr>
          <w:rFonts w:ascii="Times New Roman" w:hAnsi="Times New Roman"/>
          <w:sz w:val="28"/>
          <w:szCs w:val="28"/>
        </w:rPr>
        <w:t xml:space="preserve"> квартир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81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строящихся жилых домах 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 и дет</w:t>
      </w:r>
      <w:r w:rsidR="00515ADA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</w:t>
      </w:r>
      <w:r w:rsidR="00F47E0D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 попечения родителей; </w:t>
      </w:r>
      <w:r w:rsidR="00180681" w:rsidRPr="00180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договора специализированного найма жилого помещения обеспечено жильем 228 детей-сирот и детей, оставшихся без попечения родителей</w:t>
      </w:r>
      <w:r w:rsidR="00180681" w:rsidRPr="00180681">
        <w:rPr>
          <w:rFonts w:ascii="Times New Roman" w:hAnsi="Times New Roman"/>
          <w:sz w:val="28"/>
          <w:szCs w:val="28"/>
        </w:rPr>
        <w:t xml:space="preserve">; </w:t>
      </w:r>
      <w:r w:rsidR="00D56466" w:rsidRPr="00180681">
        <w:rPr>
          <w:rFonts w:ascii="Times New Roman" w:hAnsi="Times New Roman"/>
          <w:sz w:val="28"/>
          <w:szCs w:val="28"/>
        </w:rPr>
        <w:t xml:space="preserve">жилыми помещениями фонда коммерческого использования </w:t>
      </w:r>
      <w:r w:rsidR="00180681" w:rsidRPr="00180681">
        <w:rPr>
          <w:rFonts w:ascii="Times New Roman" w:hAnsi="Times New Roman"/>
          <w:sz w:val="28"/>
          <w:szCs w:val="28"/>
        </w:rPr>
        <w:t xml:space="preserve">обеспечено </w:t>
      </w:r>
      <w:r w:rsidR="00D56466" w:rsidRPr="00180681">
        <w:rPr>
          <w:rFonts w:ascii="Times New Roman" w:hAnsi="Times New Roman"/>
          <w:sz w:val="28"/>
          <w:szCs w:val="28"/>
        </w:rPr>
        <w:t xml:space="preserve"> </w:t>
      </w:r>
      <w:r w:rsidR="00180681" w:rsidRPr="00180681">
        <w:rPr>
          <w:rFonts w:ascii="Times New Roman" w:hAnsi="Times New Roman"/>
          <w:sz w:val="28"/>
          <w:szCs w:val="28"/>
        </w:rPr>
        <w:t>975</w:t>
      </w:r>
      <w:r w:rsidR="00D56466" w:rsidRPr="00180681">
        <w:rPr>
          <w:rFonts w:ascii="Times New Roman" w:hAnsi="Times New Roman"/>
          <w:sz w:val="28"/>
          <w:szCs w:val="28"/>
        </w:rPr>
        <w:t xml:space="preserve"> </w:t>
      </w:r>
      <w:r w:rsidR="00180681" w:rsidRPr="00180681">
        <w:rPr>
          <w:rFonts w:ascii="Times New Roman" w:hAnsi="Times New Roman"/>
          <w:sz w:val="28"/>
          <w:szCs w:val="28"/>
        </w:rPr>
        <w:t>семей</w:t>
      </w:r>
      <w:r w:rsidR="00D56466" w:rsidRPr="00180681">
        <w:rPr>
          <w:rFonts w:ascii="Times New Roman" w:hAnsi="Times New Roman"/>
          <w:sz w:val="28"/>
          <w:szCs w:val="28"/>
        </w:rPr>
        <w:t xml:space="preserve">, в том числе </w:t>
      </w:r>
      <w:r w:rsidR="00180681" w:rsidRPr="00180681">
        <w:rPr>
          <w:rFonts w:ascii="Times New Roman" w:hAnsi="Times New Roman"/>
          <w:sz w:val="28"/>
          <w:szCs w:val="28"/>
        </w:rPr>
        <w:t>47 семей</w:t>
      </w:r>
      <w:r w:rsidR="004879BB" w:rsidRPr="00180681">
        <w:rPr>
          <w:rFonts w:ascii="Times New Roman" w:hAnsi="Times New Roman"/>
          <w:sz w:val="28"/>
          <w:szCs w:val="28"/>
        </w:rPr>
        <w:t xml:space="preserve"> – в доходном доме </w:t>
      </w:r>
      <w:r w:rsidR="00180681" w:rsidRPr="00180681">
        <w:rPr>
          <w:rFonts w:ascii="Times New Roman" w:hAnsi="Times New Roman"/>
          <w:sz w:val="28"/>
          <w:szCs w:val="28"/>
        </w:rPr>
        <w:t>(жилье предоставлено на условиях договоров краткосрочного найма и договоров аренды)</w:t>
      </w:r>
      <w:r w:rsidR="00D56466" w:rsidRPr="00180681">
        <w:rPr>
          <w:rFonts w:ascii="Times New Roman" w:hAnsi="Times New Roman"/>
          <w:sz w:val="28"/>
          <w:szCs w:val="28"/>
        </w:rPr>
        <w:t>.</w:t>
      </w:r>
    </w:p>
    <w:p w:rsidR="00EF4619" w:rsidRPr="00180681" w:rsidRDefault="00EF4619" w:rsidP="00D56466">
      <w:pPr>
        <w:spacing w:after="0" w:line="240" w:lineRule="auto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A745BF" w:rsidRPr="00AF6620" w:rsidRDefault="00A745BF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8" w:name="_Toc478641585"/>
      <w:r w:rsidRPr="00AF6620">
        <w:rPr>
          <w:rFonts w:ascii="Times New Roman" w:hAnsi="Times New Roman" w:cs="Times New Roman"/>
          <w:b/>
          <w:color w:val="auto"/>
        </w:rPr>
        <w:t>УПРАВЛЕНИЕ МУНИЦИПАЛЬНЫМ ИМУЩЕСТВОМ</w:t>
      </w:r>
      <w:bookmarkEnd w:id="18"/>
    </w:p>
    <w:p w:rsidR="00A745BF" w:rsidRPr="00EF4619" w:rsidRDefault="00A745BF" w:rsidP="00A74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D4E" w:rsidRPr="00AF6620" w:rsidRDefault="00F67D4E" w:rsidP="00F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Доходы от использования муниципального имущества за 2016 год снизились на </w:t>
      </w:r>
      <w:r w:rsidR="00AF6620"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>20,3</w:t>
      </w:r>
      <w:r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по сравнению с 2015 год</w:t>
      </w:r>
      <w:r w:rsidR="00AF6620"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составили </w:t>
      </w:r>
      <w:r w:rsidR="00AF6620"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>1 778,96</w:t>
      </w:r>
      <w:r w:rsidRPr="00AF6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</w:t>
      </w:r>
    </w:p>
    <w:p w:rsidR="00F67D4E" w:rsidRPr="00C765DF" w:rsidRDefault="00F67D4E" w:rsidP="00F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плане поступлений денежных средств от приватизации муниципального имущества на 2016 год в размере </w:t>
      </w:r>
      <w:r w:rsidR="00A13A11"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>100,4</w:t>
      </w:r>
      <w:r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 по итогам 2016 года в бюджет города Кемерово поступило </w:t>
      </w:r>
      <w:r w:rsidR="00A13A11"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>101,7</w:t>
      </w:r>
      <w:r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рублей, включая доходы от льготной приватизации в размере </w:t>
      </w:r>
      <w:r w:rsidR="00A13A11"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>72,7</w:t>
      </w:r>
      <w:r w:rsidRPr="00C76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 </w:t>
      </w:r>
    </w:p>
    <w:p w:rsidR="00F67D4E" w:rsidRDefault="00F67D4E" w:rsidP="00F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отчетном периоде продано </w:t>
      </w:r>
      <w:r w:rsidR="005E3C4C"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</w:t>
      </w:r>
      <w:r w:rsidR="005E3C4C"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недвижимости на общую сумму </w:t>
      </w:r>
      <w:r w:rsidR="00C44158"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>29,06</w:t>
      </w:r>
      <w:r w:rsidRPr="00C441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 Кроме того, в муниципальную собственность города Кемерово принято и включено в Реестр муниципальной собственности специализированное имущество </w:t>
      </w:r>
      <w:r w:rsidRPr="00057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057E95" w:rsidRPr="00057E95">
        <w:rPr>
          <w:rFonts w:ascii="Times New Roman" w:eastAsia="Times New Roman" w:hAnsi="Times New Roman" w:cs="Times New Roman"/>
          <w:sz w:val="28"/>
          <w:szCs w:val="24"/>
          <w:lang w:eastAsia="ru-RU"/>
        </w:rPr>
        <w:t>430,4</w:t>
      </w:r>
      <w:r w:rsidRPr="00057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</w:t>
      </w:r>
    </w:p>
    <w:p w:rsidR="00FD3D5E" w:rsidRDefault="00FD3D5E" w:rsidP="00F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работа по разграничению государственной собственности на землю и оформлению права муниципальной собственности на сформированные земельные участки. В 2016 году</w:t>
      </w:r>
      <w:r w:rsidR="004D75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разграничено и включено в реестр муниципальной собственности 45 земельных участков площадью             17,9 га (в 2015 году – 81 земельный участок площадью 103,7 га).</w:t>
      </w:r>
    </w:p>
    <w:p w:rsidR="00063300" w:rsidRPr="008E78ED" w:rsidRDefault="00063300" w:rsidP="00F67D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60"/>
        <w:gridCol w:w="1356"/>
        <w:gridCol w:w="1356"/>
      </w:tblGrid>
      <w:tr w:rsidR="00401332" w:rsidRPr="00401332" w:rsidTr="00EF4619">
        <w:trPr>
          <w:trHeight w:val="412"/>
          <w:tblHeader/>
        </w:trPr>
        <w:tc>
          <w:tcPr>
            <w:tcW w:w="5245" w:type="dxa"/>
            <w:vAlign w:val="center"/>
          </w:tcPr>
          <w:p w:rsidR="00A745BF" w:rsidRPr="00401332" w:rsidRDefault="00A745BF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6" w:type="dxa"/>
            <w:vAlign w:val="center"/>
          </w:tcPr>
          <w:p w:rsidR="00A745BF" w:rsidRPr="00401332" w:rsidRDefault="006E6A5A" w:rsidP="006E6A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5BF"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B4C63"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745BF"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6" w:type="dxa"/>
            <w:vAlign w:val="center"/>
          </w:tcPr>
          <w:p w:rsidR="00A745BF" w:rsidRPr="00401332" w:rsidRDefault="00A745BF" w:rsidP="006E6A5A">
            <w:pPr>
              <w:widowControl w:val="0"/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4C63"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1332" w:rsidRPr="00401332" w:rsidTr="008E78ED">
        <w:trPr>
          <w:trHeight w:val="781"/>
        </w:trPr>
        <w:tc>
          <w:tcPr>
            <w:tcW w:w="5245" w:type="dxa"/>
            <w:vAlign w:val="center"/>
          </w:tcPr>
          <w:p w:rsidR="00A745BF" w:rsidRPr="00401332" w:rsidRDefault="00A745BF" w:rsidP="00924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бюджетом от использования муниципального имущества и не разграниченных земельных участков, всего</w:t>
            </w:r>
          </w:p>
        </w:tc>
        <w:tc>
          <w:tcPr>
            <w:tcW w:w="1560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2 231 315,1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1 778 963,2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745BF" w:rsidRPr="00401332" w:rsidRDefault="00A745BF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A745BF" w:rsidRPr="00401332" w:rsidRDefault="00A745BF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332" w:rsidRPr="00401332" w:rsidTr="008E78ED">
        <w:trPr>
          <w:trHeight w:val="278"/>
        </w:trPr>
        <w:tc>
          <w:tcPr>
            <w:tcW w:w="5245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полученные от сдачи в аренду муниципального имущества:</w:t>
            </w:r>
          </w:p>
        </w:tc>
        <w:tc>
          <w:tcPr>
            <w:tcW w:w="1560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220 661,8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211 602,5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нежилого фонда</w:t>
            </w:r>
          </w:p>
        </w:tc>
        <w:tc>
          <w:tcPr>
            <w:tcW w:w="1560" w:type="dxa"/>
            <w:vAlign w:val="center"/>
          </w:tcPr>
          <w:p w:rsidR="00A745BF" w:rsidRPr="00401332" w:rsidRDefault="00A745BF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45 231,6</w:t>
            </w:r>
          </w:p>
        </w:tc>
        <w:tc>
          <w:tcPr>
            <w:tcW w:w="1356" w:type="dxa"/>
            <w:vAlign w:val="center"/>
          </w:tcPr>
          <w:p w:rsidR="00A745BF" w:rsidRPr="00401332" w:rsidRDefault="00C76A8B" w:rsidP="00A745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34 221,2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584B09" w:rsidRPr="00401332" w:rsidRDefault="00584B09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1560" w:type="dxa"/>
            <w:vAlign w:val="center"/>
          </w:tcPr>
          <w:p w:rsidR="00584B09" w:rsidRPr="00401332" w:rsidRDefault="00584B09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584B09" w:rsidRPr="00401332" w:rsidRDefault="00C76A8B" w:rsidP="00584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29 035,1</w:t>
            </w:r>
          </w:p>
        </w:tc>
        <w:tc>
          <w:tcPr>
            <w:tcW w:w="1356" w:type="dxa"/>
            <w:vAlign w:val="center"/>
          </w:tcPr>
          <w:p w:rsidR="00584B09" w:rsidRPr="00401332" w:rsidRDefault="00C76A8B" w:rsidP="00584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28 573,1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584B09" w:rsidRPr="00401332" w:rsidRDefault="00584B09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предприятий и движимого имущества</w:t>
            </w:r>
          </w:p>
        </w:tc>
        <w:tc>
          <w:tcPr>
            <w:tcW w:w="1560" w:type="dxa"/>
            <w:vAlign w:val="center"/>
          </w:tcPr>
          <w:p w:rsidR="00584B09" w:rsidRPr="00401332" w:rsidRDefault="00584B09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584B09" w:rsidRPr="00401332" w:rsidRDefault="00C76A8B" w:rsidP="00584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140 426,8</w:t>
            </w:r>
          </w:p>
        </w:tc>
        <w:tc>
          <w:tcPr>
            <w:tcW w:w="1356" w:type="dxa"/>
            <w:vAlign w:val="center"/>
          </w:tcPr>
          <w:p w:rsidR="00584B09" w:rsidRPr="00401332" w:rsidRDefault="00C76A8B" w:rsidP="00584B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142 151,1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C76A8B" w:rsidRPr="00401332" w:rsidRDefault="000E434C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6A8B"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ренда имущества, находящегося в оперативном управлении</w:t>
            </w:r>
          </w:p>
        </w:tc>
        <w:tc>
          <w:tcPr>
            <w:tcW w:w="1560" w:type="dxa"/>
            <w:vAlign w:val="center"/>
          </w:tcPr>
          <w:p w:rsidR="00C76A8B" w:rsidRPr="00401332" w:rsidRDefault="00C76A8B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C76A8B" w:rsidRPr="00401332" w:rsidRDefault="00C76A8B" w:rsidP="00C76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5 903,1</w:t>
            </w:r>
          </w:p>
        </w:tc>
        <w:tc>
          <w:tcPr>
            <w:tcW w:w="1356" w:type="dxa"/>
            <w:vAlign w:val="center"/>
          </w:tcPr>
          <w:p w:rsidR="00C76A8B" w:rsidRPr="00401332" w:rsidRDefault="00C76A8B" w:rsidP="00C76A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6 407,1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 (плата за право заключения договора безвозмездного пользования)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34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муниципального имущества: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431 941,4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111 661,4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317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246 577,6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3 571,1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272"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(нежилые помещения, движимое имущество)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185 363,8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108 090,3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закрепленного за муниципальными предприятиями на праве хозяйственного ведения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1 495,1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3 158,3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обществ и товариществ с долей муниципальной собственности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утилизации списанного имущества казны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(предоставление информации по регистрации сделок с недвижимым имуществом)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(предоставление информации из реестра муниципальной собственности об объектах недвижимого имущества)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(дебиторская задолженность, возмещение)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363,2</w:t>
            </w:r>
          </w:p>
        </w:tc>
        <w:tc>
          <w:tcPr>
            <w:tcW w:w="1356" w:type="dxa"/>
            <w:vAlign w:val="center"/>
          </w:tcPr>
          <w:p w:rsidR="000E434C" w:rsidRPr="00401332" w:rsidRDefault="000E434C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14 420,7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B366C9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(возмещение ущерба)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B366C9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штрафы за нарушение законодательства РФ о контрактной системе в сфере закупок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землю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778 403,7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823 963,4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549 772,6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565 730,7</w:t>
            </w:r>
          </w:p>
        </w:tc>
      </w:tr>
      <w:tr w:rsidR="00401332" w:rsidRPr="00401332" w:rsidTr="00B366C9">
        <w:tc>
          <w:tcPr>
            <w:tcW w:w="5245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vAlign w:val="center"/>
          </w:tcPr>
          <w:p w:rsidR="000E434C" w:rsidRPr="00401332" w:rsidRDefault="000E434C" w:rsidP="00B366C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248 112,3</w:t>
            </w:r>
          </w:p>
        </w:tc>
        <w:tc>
          <w:tcPr>
            <w:tcW w:w="1356" w:type="dxa"/>
            <w:vAlign w:val="center"/>
          </w:tcPr>
          <w:p w:rsidR="000E434C" w:rsidRPr="00401332" w:rsidRDefault="00B366C9" w:rsidP="000E43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48 082,3</w:t>
            </w:r>
          </w:p>
        </w:tc>
      </w:tr>
    </w:tbl>
    <w:p w:rsidR="00EF4619" w:rsidRDefault="00EF4619" w:rsidP="00464AA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8E78ED" w:rsidRDefault="008E78ED" w:rsidP="008E78ED"/>
    <w:p w:rsidR="00924777" w:rsidRDefault="00924777" w:rsidP="008E78ED"/>
    <w:p w:rsidR="00924777" w:rsidRDefault="00924777" w:rsidP="008E78ED"/>
    <w:p w:rsidR="00A745BF" w:rsidRDefault="00A745BF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9" w:name="_Toc478641586"/>
      <w:r w:rsidRPr="000C4188">
        <w:rPr>
          <w:rFonts w:ascii="Times New Roman" w:hAnsi="Times New Roman" w:cs="Times New Roman"/>
          <w:b/>
          <w:color w:val="auto"/>
        </w:rPr>
        <w:lastRenderedPageBreak/>
        <w:t>БЮДЖЕТ ГОРОДА</w:t>
      </w:r>
      <w:bookmarkEnd w:id="19"/>
    </w:p>
    <w:p w:rsidR="00A745BF" w:rsidRPr="000C4188" w:rsidRDefault="00A745BF" w:rsidP="00A74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A745B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состоянию на 1 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января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в городской бюджет поступило доходов в сумме 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17 062,2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рублей, что </w:t>
      </w:r>
      <w:r w:rsidR="0047168B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4,3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меньше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уровн</w:t>
      </w:r>
      <w:r w:rsidR="0047168B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7168B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годичной давности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За отчетный период бюджет города Кемерово исполнен с дефицитом </w:t>
      </w:r>
      <w:r w:rsidR="000C4188"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>881,6</w:t>
      </w:r>
      <w:r w:rsidRPr="000C41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млн. рублей.</w:t>
      </w:r>
    </w:p>
    <w:p w:rsidR="009024F9" w:rsidRPr="000C4188" w:rsidRDefault="009024F9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745BF" w:rsidRPr="000C4188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x-none"/>
        </w:rPr>
      </w:pPr>
    </w:p>
    <w:p w:rsidR="00A745BF" w:rsidRDefault="00A745BF" w:rsidP="000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C418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Доходы бюджета города Кемерово, млн. рублей</w:t>
      </w:r>
    </w:p>
    <w:p w:rsidR="00301EBA" w:rsidRDefault="00301EBA" w:rsidP="000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C4188" w:rsidRPr="00EF4619" w:rsidRDefault="000C4188" w:rsidP="000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x-none"/>
        </w:rPr>
      </w:pPr>
    </w:p>
    <w:p w:rsidR="000C4188" w:rsidRPr="000C4188" w:rsidRDefault="000C4188" w:rsidP="000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61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5F8E5D" wp14:editId="4EE561CC">
            <wp:extent cx="5940425" cy="2524125"/>
            <wp:effectExtent l="0" t="0" r="3175" b="0"/>
            <wp:docPr id="11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45BF" w:rsidRPr="0038709F" w:rsidRDefault="00A745BF" w:rsidP="00A74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0"/>
          <w:szCs w:val="28"/>
          <w:lang w:eastAsia="x-none"/>
        </w:rPr>
      </w:pPr>
    </w:p>
    <w:p w:rsidR="00A819C1" w:rsidRPr="0038709F" w:rsidRDefault="00A819C1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"/>
          <w:szCs w:val="32"/>
          <w:lang w:eastAsia="ru-RU"/>
        </w:rPr>
      </w:pPr>
    </w:p>
    <w:p w:rsidR="00F67D4E" w:rsidRPr="0038709F" w:rsidRDefault="00F67D4E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32"/>
          <w:lang w:eastAsia="ru-RU"/>
        </w:rPr>
      </w:pPr>
    </w:p>
    <w:p w:rsidR="00A745BF" w:rsidRDefault="00A745BF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23016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Структура доходов бюджета города Кемерово, млн. рублей</w:t>
      </w:r>
    </w:p>
    <w:p w:rsidR="00301EBA" w:rsidRPr="0023016E" w:rsidRDefault="00301EBA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819C1" w:rsidRPr="0038709F" w:rsidRDefault="00A819C1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32"/>
          <w:lang w:eastAsia="ru-RU"/>
        </w:rPr>
      </w:pPr>
    </w:p>
    <w:p w:rsidR="00CF4B18" w:rsidRPr="0038709F" w:rsidRDefault="00CF4B18" w:rsidP="00A74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"/>
          <w:szCs w:val="32"/>
          <w:lang w:eastAsia="ru-RU"/>
        </w:rPr>
      </w:pPr>
    </w:p>
    <w:bookmarkStart w:id="20" w:name="_MON_1488197113"/>
    <w:bookmarkEnd w:id="20"/>
    <w:p w:rsidR="00A745BF" w:rsidRPr="0038709F" w:rsidRDefault="00924777" w:rsidP="00CF4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0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object w:dxaOrig="8904" w:dyaOrig="2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170.25pt" o:ole="">
            <v:imagedata r:id="rId26" o:title=""/>
          </v:shape>
          <o:OLEObject Type="Embed" ProgID="Excel.Sheet.8" ShapeID="_x0000_i1025" DrawAspect="Content" ObjectID="_1552985275" r:id="rId27"/>
        </w:object>
      </w:r>
    </w:p>
    <w:p w:rsidR="00A745BF" w:rsidRPr="00ED004D" w:rsidRDefault="00A745BF" w:rsidP="00A745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 наиболее стабильным источником формирования доходной части бюджета города остается налог на доходы физических лиц</w:t>
      </w:r>
      <w:r w:rsidR="00962DB3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E9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62DB3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173238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сумма поступления НДФЛ составила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2 584,7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</w:t>
      </w:r>
      <w:r w:rsidR="00962DB3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="00FA0F24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уровня 201</w:t>
      </w:r>
      <w:r w:rsidR="00FA0F24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ED00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платежи малого бизнеса в городской бюджет (единый налог на вмененный доход) составили </w:t>
      </w:r>
      <w:r w:rsidR="00F7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360,7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</w:t>
      </w:r>
      <w:r w:rsidR="00FA0F24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FA0F24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уровня 201</w:t>
      </w:r>
      <w:r w:rsidR="00FA0F24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Поступление налог</w:t>
      </w:r>
      <w:r w:rsidR="00EB62E9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 имущество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934,0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EC0F00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207115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525"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годичной давности</w:t>
      </w:r>
      <w:r w:rsidRPr="00ED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7CD" w:rsidRPr="0038709F" w:rsidRDefault="00A745BF" w:rsidP="00E557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01C728AF" wp14:editId="50708383">
            <wp:extent cx="6096000" cy="2686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57CD" w:rsidRPr="0038709F" w:rsidRDefault="00E557CD" w:rsidP="00E557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</w:p>
    <w:p w:rsidR="00A745BF" w:rsidRPr="007B2F44" w:rsidRDefault="00A745BF" w:rsidP="00E557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1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Расходная часть </w:t>
      </w:r>
      <w:r w:rsidRPr="00230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бюджета</w:t>
      </w:r>
      <w:r w:rsidRPr="002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A3140" w:rsidRPr="002301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016E" w:rsidRPr="002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исполнена в сумме 17 943,8</w:t>
      </w:r>
      <w:r w:rsidRPr="0023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23016E"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>93,1</w:t>
      </w:r>
      <w:r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AA3140"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3140"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016E"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45BF" w:rsidRPr="007B2F44" w:rsidRDefault="00E557CD" w:rsidP="00301E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Наибольший удельный вес в расходах бюджета города Кемерово составили расходы на социальную сферу –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66,4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%. По сравнению с                          2015 год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ом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они увеличились на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0,4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 и составили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11 906,9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млн. рублей, из них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7 839,8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млн. рублей пришлось на образование,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2 976,3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млн. рублей – на социальную политику. Значительными по объему являются расходы на национальную экономику (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14,7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%). По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сравнению с уровнем 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2015 года данные расходы возросли на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25,1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 и составили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2 643,3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млн. рублей. Расходы на жилищно-коммунальное хозяйство составили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12,8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 от общего объема денежных расходов местного бюджета, на решение общегосударственных вопросов пришлось </w:t>
      </w:r>
      <w:r w:rsidR="007B2F44"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>5,0</w:t>
      </w:r>
      <w:r w:rsidRPr="007B2F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%, на национальную безопасность – 0,2 % и 0,9 % составили прочие расходы.</w:t>
      </w:r>
    </w:p>
    <w:p w:rsidR="00301EBA" w:rsidRDefault="00301EBA" w:rsidP="00CB4092">
      <w:pPr>
        <w:keepNext/>
        <w:keepLines/>
        <w:spacing w:after="0" w:line="240" w:lineRule="auto"/>
        <w:ind w:right="-64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B4092" w:rsidRPr="00761400" w:rsidRDefault="008E3000" w:rsidP="00CB4092">
      <w:pPr>
        <w:keepNext/>
        <w:keepLines/>
        <w:spacing w:after="0" w:line="240" w:lineRule="auto"/>
        <w:ind w:right="-644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76140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Структура расходов бюджета г. Кемерово</w:t>
      </w:r>
    </w:p>
    <w:p w:rsidR="008E3000" w:rsidRPr="00761400" w:rsidRDefault="008E3000" w:rsidP="00CB4092">
      <w:pPr>
        <w:keepNext/>
        <w:keepLines/>
        <w:spacing w:after="0" w:line="240" w:lineRule="auto"/>
        <w:ind w:right="-64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6140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 2016 год, млн. рублей</w:t>
      </w:r>
    </w:p>
    <w:p w:rsidR="008E3000" w:rsidRPr="0038709F" w:rsidRDefault="008E3000" w:rsidP="008E3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8709F">
        <w:rPr>
          <w:noProof/>
          <w:color w:val="FF0000"/>
          <w:lang w:eastAsia="ru-RU"/>
        </w:rPr>
        <w:drawing>
          <wp:inline distT="0" distB="0" distL="0" distR="0" wp14:anchorId="6545D98B" wp14:editId="43B7A667">
            <wp:extent cx="5940425" cy="2952750"/>
            <wp:effectExtent l="0" t="0" r="0" b="0"/>
            <wp:docPr id="1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745BF" w:rsidRPr="001B5497" w:rsidRDefault="00A745BF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1" w:name="_Toc478641587"/>
      <w:r w:rsidRPr="001B5497">
        <w:rPr>
          <w:rFonts w:ascii="Times New Roman" w:hAnsi="Times New Roman" w:cs="Times New Roman"/>
          <w:b/>
          <w:color w:val="auto"/>
        </w:rPr>
        <w:lastRenderedPageBreak/>
        <w:t>СОЦИАЛЬНАЯ СФЕРА</w:t>
      </w:r>
      <w:bookmarkEnd w:id="21"/>
    </w:p>
    <w:p w:rsidR="00A745BF" w:rsidRPr="001B5497" w:rsidRDefault="00A745BF" w:rsidP="00464AA4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bookmarkStart w:id="22" w:name="_Toc478641588"/>
      <w:r w:rsidRPr="001B5497">
        <w:rPr>
          <w:rFonts w:ascii="Times New Roman" w:hAnsi="Times New Roman" w:cs="Times New Roman"/>
          <w:b/>
          <w:color w:val="auto"/>
          <w:sz w:val="32"/>
          <w:szCs w:val="28"/>
        </w:rPr>
        <w:t>Образование</w:t>
      </w:r>
      <w:bookmarkEnd w:id="22"/>
    </w:p>
    <w:p w:rsidR="00782904" w:rsidRPr="00903BB1" w:rsidRDefault="00782904" w:rsidP="00782904">
      <w:pPr>
        <w:keepNext/>
        <w:keepLines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1276"/>
        <w:gridCol w:w="1134"/>
      </w:tblGrid>
      <w:tr w:rsidR="0038709F" w:rsidRPr="001B5497" w:rsidTr="00903BB1">
        <w:trPr>
          <w:trHeight w:val="525"/>
          <w:tblHeader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03BB1">
            <w:pPr>
              <w:keepNext/>
              <w:keepLines/>
              <w:widowControl w:val="0"/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782904" w:rsidRPr="001B5497" w:rsidRDefault="00782904" w:rsidP="002621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2621D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38709F" w:rsidRPr="001B5497" w:rsidTr="00903BB1">
        <w:trPr>
          <w:trHeight w:val="540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дошкольных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782904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количество мест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276" w:type="dxa"/>
            <w:vAlign w:val="center"/>
          </w:tcPr>
          <w:p w:rsidR="00782904" w:rsidRPr="001B5497" w:rsidRDefault="00782904" w:rsidP="00745E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745E16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27 228</w:t>
            </w:r>
          </w:p>
        </w:tc>
      </w:tr>
      <w:tr w:rsidR="001B5497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на 100 мест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745E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E16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дневных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4" w:type="dxa"/>
            <w:vAlign w:val="center"/>
          </w:tcPr>
          <w:p w:rsidR="00782904" w:rsidRPr="001B5497" w:rsidRDefault="00745E16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школ - интернатов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воспитанников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vAlign w:val="center"/>
          </w:tcPr>
          <w:p w:rsidR="00782904" w:rsidRPr="001B5497" w:rsidRDefault="00745E16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детских домов 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воспитанников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82904" w:rsidRPr="001B5497" w:rsidRDefault="00745E16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745E16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E16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709F" w:rsidRPr="001B5497" w:rsidTr="00903BB1">
        <w:trPr>
          <w:trHeight w:val="277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1B5497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школ </w:t>
            </w:r>
            <w:proofErr w:type="spellStart"/>
            <w:r w:rsidR="001B5497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психико</w:t>
            </w:r>
            <w:proofErr w:type="spellEnd"/>
            <w:r w:rsidR="001B5497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-педагогической поддержки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1B5497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497" w:rsidRPr="001B5497" w:rsidTr="00903BB1">
        <w:trPr>
          <w:trHeight w:val="262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воспитанников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82904" w:rsidRPr="001B5497" w:rsidRDefault="001B5497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1B549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B5497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09F" w:rsidRPr="001B5497" w:rsidTr="00903BB1">
        <w:trPr>
          <w:trHeight w:val="525"/>
          <w:jc w:val="center"/>
        </w:trPr>
        <w:tc>
          <w:tcPr>
            <w:tcW w:w="5665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вечерних (сменных) общеобразовательных учреждений</w:t>
            </w:r>
          </w:p>
        </w:tc>
        <w:tc>
          <w:tcPr>
            <w:tcW w:w="1418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782904" w:rsidRPr="001B5497" w:rsidRDefault="00782904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5497" w:rsidRPr="001B5497" w:rsidTr="00903BB1">
        <w:trPr>
          <w:trHeight w:val="240"/>
          <w:jc w:val="center"/>
        </w:trPr>
        <w:tc>
          <w:tcPr>
            <w:tcW w:w="5665" w:type="dxa"/>
            <w:vAlign w:val="center"/>
          </w:tcPr>
          <w:p w:rsidR="001B5497" w:rsidRPr="001B5497" w:rsidRDefault="001B5497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учащихся</w:t>
            </w:r>
          </w:p>
        </w:tc>
        <w:tc>
          <w:tcPr>
            <w:tcW w:w="1418" w:type="dxa"/>
            <w:vAlign w:val="center"/>
          </w:tcPr>
          <w:p w:rsidR="001B5497" w:rsidRPr="001B5497" w:rsidRDefault="001B5497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1B5497" w:rsidRPr="001B5497" w:rsidRDefault="001B5497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</w:t>
            </w:r>
          </w:p>
        </w:tc>
        <w:tc>
          <w:tcPr>
            <w:tcW w:w="1134" w:type="dxa"/>
            <w:vAlign w:val="center"/>
          </w:tcPr>
          <w:p w:rsidR="001B5497" w:rsidRPr="001B5497" w:rsidRDefault="001B5497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</w:t>
            </w:r>
          </w:p>
        </w:tc>
      </w:tr>
      <w:tr w:rsidR="001B5497" w:rsidRPr="001B5497" w:rsidTr="00903BB1">
        <w:trPr>
          <w:trHeight w:val="540"/>
          <w:jc w:val="center"/>
        </w:trPr>
        <w:tc>
          <w:tcPr>
            <w:tcW w:w="5665" w:type="dxa"/>
            <w:vAlign w:val="center"/>
          </w:tcPr>
          <w:p w:rsidR="004C6979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обучающихся, занимающихся </w:t>
            </w:r>
          </w:p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вторую смену</w:t>
            </w:r>
          </w:p>
        </w:tc>
        <w:tc>
          <w:tcPr>
            <w:tcW w:w="1418" w:type="dxa"/>
            <w:vAlign w:val="center"/>
          </w:tcPr>
          <w:p w:rsidR="00782904" w:rsidRPr="001B5497" w:rsidRDefault="001B5497" w:rsidP="001B549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782904" w:rsidRPr="001B5497" w:rsidRDefault="001B5497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1134" w:type="dxa"/>
            <w:vAlign w:val="center"/>
          </w:tcPr>
          <w:p w:rsidR="00782904" w:rsidRPr="001B5497" w:rsidRDefault="00782904" w:rsidP="001B5497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</w:t>
            </w:r>
            <w:r w:rsidR="001B5497"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8709F" w:rsidRPr="001B5497" w:rsidTr="00903BB1">
        <w:trPr>
          <w:trHeight w:val="262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учреждений дополнительного образования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2904" w:rsidRPr="001B5497" w:rsidTr="00903BB1">
        <w:trPr>
          <w:trHeight w:val="7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учащихся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2904" w:rsidRPr="001B5497" w:rsidRDefault="00782904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04" w:rsidRPr="001B5497" w:rsidRDefault="001B5497" w:rsidP="009B404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04" w:rsidRPr="001B5497" w:rsidRDefault="001B5497" w:rsidP="009B40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37 637</w:t>
            </w:r>
          </w:p>
        </w:tc>
      </w:tr>
    </w:tbl>
    <w:p w:rsidR="00782904" w:rsidRPr="002A1733" w:rsidRDefault="00782904" w:rsidP="00782904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2904" w:rsidRPr="00304540" w:rsidRDefault="00782904" w:rsidP="00782904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1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итогам 2016 года </w:t>
      </w:r>
      <w:r w:rsidR="002A1733" w:rsidRPr="002A1733">
        <w:rPr>
          <w:rFonts w:ascii="Times New Roman" w:eastAsia="Times New Roman" w:hAnsi="Times New Roman" w:cs="Times New Roman"/>
          <w:sz w:val="28"/>
          <w:szCs w:val="28"/>
          <w:lang w:eastAsia="x-none"/>
        </w:rPr>
        <w:t>77,6</w:t>
      </w:r>
      <w:r w:rsidRPr="002A1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% детей в возрасте от 1 до 6 лет получ</w:t>
      </w:r>
      <w:r w:rsidR="00FE6BF5" w:rsidRPr="002A1733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A17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 дошкольную образовательную услугу в муниципальных учреждениях, дети в возрасте от 3 до 7 лет обеспечены местами в дошкольных образовательных </w:t>
      </w:r>
      <w:r w:rsidRPr="0030454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учреждениях на 100 %. </w:t>
      </w:r>
    </w:p>
    <w:p w:rsidR="004D552E" w:rsidRDefault="00782904" w:rsidP="00782904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общеобразовательных учреждений города охвачено </w:t>
      </w:r>
      <w:r w:rsidR="00304540"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>55 746</w:t>
      </w:r>
      <w:r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из них </w:t>
      </w:r>
      <w:r w:rsidR="00304540"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>71,5</w:t>
      </w:r>
      <w:r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занимались в первую смену (2015 год – </w:t>
      </w:r>
      <w:r w:rsidR="00304540"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 w:rsidR="004D552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82904" w:rsidRPr="007519E1" w:rsidRDefault="00782904" w:rsidP="00782904">
      <w:pPr>
        <w:keepNext/>
        <w:keepLines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720" w:rsidRPr="00E55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Кемеровостата п</w:t>
      </w:r>
      <w:r w:rsidRPr="00E55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2016 года средняя заработная плата педагогических 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дошкольных образовательных учреждений составила </w:t>
      </w:r>
      <w:r w:rsidR="009571BF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26 638,2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82720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720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BF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102,4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571BF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средней заработной платы в сфере общего образования Кемеровской области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педагогических работников образовательных учреждений составила</w:t>
      </w:r>
      <w:r w:rsidR="003C5717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27 632,6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82720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или </w:t>
      </w:r>
      <w:r w:rsidR="003C5717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101,7</w:t>
      </w:r>
      <w:r w:rsidR="00A82720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</w:t>
      </w:r>
      <w:r w:rsidR="003C5717"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заработной платы по Кемеровской области</w:t>
      </w:r>
      <w:r w:rsidRPr="0075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950DF" w:rsidRPr="007519E1" w:rsidRDefault="000950DF" w:rsidP="007829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782904" w:rsidRPr="007519E1" w:rsidRDefault="00782904" w:rsidP="007829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 детей-сирот и детей,</w:t>
      </w:r>
    </w:p>
    <w:p w:rsidR="00782904" w:rsidRPr="007519E1" w:rsidRDefault="00782904" w:rsidP="007829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оставшихся без попечения родителей</w:t>
      </w:r>
    </w:p>
    <w:p w:rsidR="003C16D2" w:rsidRPr="007519E1" w:rsidRDefault="003C16D2" w:rsidP="0078290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782904" w:rsidRPr="00B1040B" w:rsidRDefault="00782904" w:rsidP="005D27E4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19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</w:t>
      </w:r>
      <w:r w:rsidR="004D552E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7519E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1040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находящихся в учреждениях для детей-сирот и детей, оставшихся без попечения родителей, 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519E1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="007519E1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составила 97,</w:t>
      </w:r>
      <w:r w:rsidR="007519E1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%.</w:t>
      </w:r>
    </w:p>
    <w:p w:rsidR="00782904" w:rsidRPr="00B1040B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Во исполнени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плана мероприятий («дорожная карта») до 2018 года, утвержденного постановлением администрации города Кемерово от 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05.08.2014 № 1957, по итогам 2016 года численность детей-сирот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обучающихся и воспитывающихся в учреждениях для детей-сирот и детей, оставшихся без попечения родителей и находящихся на учете в федеральном банке данных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сократилось до 2</w:t>
      </w:r>
      <w:r w:rsidR="00B1040B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Всего детей в учреждениях, в том числе находящихся по заявлению законных представителей</w:t>
      </w:r>
      <w:r w:rsidR="00676D13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B1040B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302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B1040B"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B1040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82904" w:rsidRPr="00243132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приемных семьях воспитыва</w:t>
      </w:r>
      <w:r w:rsidR="00676D13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6D13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ранее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C19F6"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Pr="004C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76D13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семьях воспитывалось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573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</w:p>
    <w:p w:rsidR="00782904" w:rsidRPr="00243132" w:rsidRDefault="00782904" w:rsidP="0078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выявлено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оставшихся без попечения родителей (в 2015 год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D13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676D13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4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формы устройства передан</w:t>
      </w:r>
      <w:r w:rsidR="00676D13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выявленными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опеку и попечительство – 244 ребенка, в приемные семьи – 186 детей, усыновлены – 57 детей. После профилактической работы 93 ребенка</w:t>
      </w: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4C19F6"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звращены биологическим родителям</w:t>
      </w:r>
      <w:r w:rsidRPr="0024313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82904" w:rsidRPr="008E67B0" w:rsidRDefault="00782904" w:rsidP="0078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учреждений для детей-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 (детски</w:t>
      </w:r>
      <w:r w:rsidR="0049387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9387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</w:t>
      </w:r>
      <w:r w:rsidR="0049387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школа-интернат № 27), а также из дома ребенка в семейные формы устройства было передано </w:t>
      </w:r>
      <w:r w:rsidR="0024313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состоящи</w:t>
      </w:r>
      <w:r w:rsidR="00FE6BF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государственном банке данных детей, оставшихся без попечения родителей (</w:t>
      </w:r>
      <w:r w:rsidR="0024313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49387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24313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4313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7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904" w:rsidRPr="008E67B0" w:rsidRDefault="00782904" w:rsidP="0078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итогам 2016 года на учете в органе опеки и попечительства г. Кемерово находятся 2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родителей. Доля детей, находящихся в семейных формах</w:t>
      </w:r>
      <w:r w:rsidR="00FE6BF5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="00B4781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4781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(1 95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781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ребенка)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учете в федеральном банке данных о детях-сиротах и детях, оставшихся без попечения родителей, состоят 3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01.01.2016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="00B47812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B0"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E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A2B6C" w:rsidRPr="0038709F" w:rsidRDefault="00BA2B6C" w:rsidP="00782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2904" w:rsidRPr="005100F0" w:rsidRDefault="00782904" w:rsidP="00FE6BF5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bookmarkStart w:id="23" w:name="_Toc478641589"/>
      <w:r w:rsidRPr="005100F0">
        <w:rPr>
          <w:rFonts w:ascii="Times New Roman" w:eastAsia="Times New Roman" w:hAnsi="Times New Roman" w:cs="Times New Roman"/>
          <w:b/>
          <w:color w:val="auto"/>
          <w:sz w:val="32"/>
        </w:rPr>
        <w:t>Культура</w:t>
      </w:r>
      <w:bookmarkEnd w:id="23"/>
    </w:p>
    <w:tbl>
      <w:tblPr>
        <w:tblStyle w:val="aa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5129"/>
        <w:gridCol w:w="1197"/>
        <w:gridCol w:w="1542"/>
        <w:gridCol w:w="1477"/>
      </w:tblGrid>
      <w:tr w:rsidR="005100F0" w:rsidRPr="005100F0" w:rsidTr="009B4040">
        <w:trPr>
          <w:tblHeader/>
        </w:trPr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Показатели</w:t>
            </w:r>
          </w:p>
        </w:tc>
        <w:tc>
          <w:tcPr>
            <w:tcW w:w="1197" w:type="dxa"/>
          </w:tcPr>
          <w:p w:rsidR="00782904" w:rsidRPr="005100F0" w:rsidRDefault="00782904" w:rsidP="009B4040">
            <w:pPr>
              <w:keepNext/>
              <w:keepLines/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 изм.</w:t>
            </w:r>
          </w:p>
        </w:tc>
        <w:tc>
          <w:tcPr>
            <w:tcW w:w="1542" w:type="dxa"/>
          </w:tcPr>
          <w:p w:rsidR="00782904" w:rsidRPr="005100F0" w:rsidRDefault="00782904" w:rsidP="005100F0">
            <w:pPr>
              <w:keepNext/>
              <w:keepLines/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2015 год</w:t>
            </w:r>
          </w:p>
        </w:tc>
        <w:tc>
          <w:tcPr>
            <w:tcW w:w="1477" w:type="dxa"/>
          </w:tcPr>
          <w:p w:rsidR="00782904" w:rsidRPr="005100F0" w:rsidRDefault="00782904" w:rsidP="005100F0">
            <w:pPr>
              <w:keepNext/>
              <w:keepLines/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2016 год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rPr>
                <w:b/>
                <w:sz w:val="24"/>
                <w:szCs w:val="24"/>
              </w:rPr>
            </w:pPr>
            <w:r w:rsidRPr="005100F0">
              <w:rPr>
                <w:b/>
                <w:sz w:val="24"/>
                <w:szCs w:val="24"/>
              </w:rPr>
              <w:t>Учреждения культурно-досугового типа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Количество культурно-досуговых учреждений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12</w:t>
            </w:r>
          </w:p>
        </w:tc>
        <w:tc>
          <w:tcPr>
            <w:tcW w:w="147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12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Количество клубных формирований (с учетом публичных библиотек)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586</w:t>
            </w:r>
          </w:p>
        </w:tc>
        <w:tc>
          <w:tcPr>
            <w:tcW w:w="1477" w:type="dxa"/>
            <w:vAlign w:val="center"/>
          </w:tcPr>
          <w:p w:rsidR="00782904" w:rsidRPr="005100F0" w:rsidRDefault="005100F0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575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Количество участников, занимающихся в клубных формированиях (с учетом публичных библиотек)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чел.</w:t>
            </w:r>
          </w:p>
        </w:tc>
        <w:tc>
          <w:tcPr>
            <w:tcW w:w="1542" w:type="dxa"/>
            <w:vAlign w:val="center"/>
          </w:tcPr>
          <w:p w:rsidR="00782904" w:rsidRPr="005100F0" w:rsidRDefault="005100F0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10 690</w:t>
            </w:r>
          </w:p>
        </w:tc>
        <w:tc>
          <w:tcPr>
            <w:tcW w:w="1477" w:type="dxa"/>
            <w:vAlign w:val="center"/>
          </w:tcPr>
          <w:p w:rsidR="00782904" w:rsidRPr="005100F0" w:rsidRDefault="005100F0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10 757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rPr>
                <w:b/>
                <w:sz w:val="24"/>
                <w:szCs w:val="24"/>
              </w:rPr>
            </w:pPr>
            <w:r w:rsidRPr="005100F0">
              <w:rPr>
                <w:b/>
                <w:sz w:val="24"/>
                <w:szCs w:val="24"/>
              </w:rPr>
              <w:t>Музеи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782904" w:rsidRPr="005100F0" w:rsidRDefault="0077485D" w:rsidP="0077485D">
            <w:pPr>
              <w:keepNext/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музеев /</w:t>
            </w:r>
            <w:r w:rsidR="00782904" w:rsidRPr="005100F0">
              <w:rPr>
                <w:sz w:val="24"/>
                <w:szCs w:val="24"/>
              </w:rPr>
              <w:t xml:space="preserve">в </w:t>
            </w:r>
            <w:proofErr w:type="spellStart"/>
            <w:r w:rsidR="00782904" w:rsidRPr="005100F0">
              <w:rPr>
                <w:sz w:val="24"/>
                <w:szCs w:val="24"/>
              </w:rPr>
              <w:t>т.ч</w:t>
            </w:r>
            <w:proofErr w:type="spellEnd"/>
            <w:r w:rsidR="00782904" w:rsidRPr="005100F0">
              <w:rPr>
                <w:sz w:val="24"/>
                <w:szCs w:val="24"/>
              </w:rPr>
              <w:t>. муниципальных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4/1</w:t>
            </w:r>
          </w:p>
        </w:tc>
        <w:tc>
          <w:tcPr>
            <w:tcW w:w="147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4/1</w:t>
            </w:r>
          </w:p>
        </w:tc>
      </w:tr>
      <w:tr w:rsidR="005100F0" w:rsidRPr="005100F0" w:rsidTr="005100F0">
        <w:trPr>
          <w:trHeight w:val="139"/>
        </w:trPr>
        <w:tc>
          <w:tcPr>
            <w:tcW w:w="5129" w:type="dxa"/>
            <w:vAlign w:val="center"/>
          </w:tcPr>
          <w:p w:rsidR="00E557CD" w:rsidRPr="005100F0" w:rsidRDefault="00782904" w:rsidP="005100F0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 xml:space="preserve">Число посещений муниципальных музеев </w:t>
            </w:r>
          </w:p>
        </w:tc>
        <w:tc>
          <w:tcPr>
            <w:tcW w:w="1197" w:type="dxa"/>
            <w:vAlign w:val="center"/>
          </w:tcPr>
          <w:p w:rsidR="00782904" w:rsidRPr="005100F0" w:rsidRDefault="00782904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тыс. чел.</w:t>
            </w:r>
          </w:p>
        </w:tc>
        <w:tc>
          <w:tcPr>
            <w:tcW w:w="1542" w:type="dxa"/>
            <w:vAlign w:val="center"/>
          </w:tcPr>
          <w:p w:rsidR="00782904" w:rsidRPr="005100F0" w:rsidRDefault="005100F0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188,97</w:t>
            </w:r>
          </w:p>
        </w:tc>
        <w:tc>
          <w:tcPr>
            <w:tcW w:w="1477" w:type="dxa"/>
            <w:vAlign w:val="center"/>
          </w:tcPr>
          <w:p w:rsidR="00782904" w:rsidRPr="005100F0" w:rsidRDefault="005100F0" w:rsidP="009B4040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208,3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rPr>
                <w:b/>
                <w:sz w:val="24"/>
                <w:szCs w:val="24"/>
              </w:rPr>
            </w:pPr>
            <w:r w:rsidRPr="005100F0">
              <w:rPr>
                <w:b/>
                <w:sz w:val="24"/>
                <w:szCs w:val="24"/>
              </w:rPr>
              <w:t>Театры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5100F0" w:rsidRPr="005100F0" w:rsidRDefault="00E557CD" w:rsidP="00E557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 xml:space="preserve">Число профессиональных театров </w:t>
            </w:r>
          </w:p>
          <w:p w:rsidR="00E557CD" w:rsidRPr="005100F0" w:rsidRDefault="00E557CD" w:rsidP="00E557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 xml:space="preserve">(в </w:t>
            </w:r>
            <w:proofErr w:type="spellStart"/>
            <w:r w:rsidRPr="005100F0">
              <w:rPr>
                <w:sz w:val="24"/>
                <w:szCs w:val="24"/>
              </w:rPr>
              <w:t>т.ч</w:t>
            </w:r>
            <w:proofErr w:type="spellEnd"/>
            <w:r w:rsidRPr="005100F0">
              <w:rPr>
                <w:sz w:val="24"/>
                <w:szCs w:val="24"/>
              </w:rPr>
              <w:t>. муниципальных)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4/1</w:t>
            </w:r>
          </w:p>
        </w:tc>
        <w:tc>
          <w:tcPr>
            <w:tcW w:w="147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4/1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Число посещений муниципальных театров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42" w:type="dxa"/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40,5</w:t>
            </w:r>
          </w:p>
        </w:tc>
        <w:tc>
          <w:tcPr>
            <w:tcW w:w="1477" w:type="dxa"/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39,0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rPr>
                <w:b/>
                <w:sz w:val="24"/>
                <w:szCs w:val="24"/>
              </w:rPr>
            </w:pPr>
            <w:r w:rsidRPr="005100F0">
              <w:rPr>
                <w:b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Количество массовых библиотек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30</w:t>
            </w:r>
          </w:p>
        </w:tc>
        <w:tc>
          <w:tcPr>
            <w:tcW w:w="147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30</w:t>
            </w:r>
          </w:p>
        </w:tc>
      </w:tr>
      <w:tr w:rsidR="005100F0" w:rsidRPr="005100F0" w:rsidTr="009B4040">
        <w:tc>
          <w:tcPr>
            <w:tcW w:w="5129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Библиотечный фонд массовых библиотек</w:t>
            </w:r>
          </w:p>
        </w:tc>
        <w:tc>
          <w:tcPr>
            <w:tcW w:w="1197" w:type="dxa"/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тыс. экз.</w:t>
            </w:r>
          </w:p>
        </w:tc>
        <w:tc>
          <w:tcPr>
            <w:tcW w:w="1542" w:type="dxa"/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824,0</w:t>
            </w:r>
          </w:p>
        </w:tc>
        <w:tc>
          <w:tcPr>
            <w:tcW w:w="1477" w:type="dxa"/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824,2</w:t>
            </w:r>
          </w:p>
        </w:tc>
      </w:tr>
      <w:tr w:rsidR="005100F0" w:rsidRPr="005100F0" w:rsidTr="009B4040">
        <w:tc>
          <w:tcPr>
            <w:tcW w:w="5129" w:type="dxa"/>
            <w:tcBorders>
              <w:bottom w:val="single" w:sz="4" w:space="0" w:color="auto"/>
            </w:tcBorders>
            <w:vAlign w:val="center"/>
          </w:tcPr>
          <w:p w:rsidR="00E557CD" w:rsidRPr="005100F0" w:rsidRDefault="00E557CD" w:rsidP="005100F0">
            <w:pPr>
              <w:keepNext/>
              <w:keepLines/>
              <w:widowControl w:val="0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 xml:space="preserve">Число читателей в </w:t>
            </w:r>
            <w:r w:rsidR="005100F0" w:rsidRPr="005100F0">
              <w:rPr>
                <w:sz w:val="24"/>
                <w:szCs w:val="24"/>
              </w:rPr>
              <w:t>массовых</w:t>
            </w:r>
            <w:r w:rsidRPr="005100F0">
              <w:rPr>
                <w:sz w:val="24"/>
                <w:szCs w:val="24"/>
              </w:rPr>
              <w:t xml:space="preserve"> библиотеках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E557CD" w:rsidRPr="005100F0" w:rsidRDefault="00E557CD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тыс. чел.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143,1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E557CD" w:rsidRPr="005100F0" w:rsidRDefault="005100F0" w:rsidP="00E557CD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  <w:r w:rsidRPr="005100F0">
              <w:rPr>
                <w:sz w:val="24"/>
                <w:szCs w:val="24"/>
              </w:rPr>
              <w:t>143,2</w:t>
            </w:r>
          </w:p>
        </w:tc>
      </w:tr>
    </w:tbl>
    <w:p w:rsidR="00782904" w:rsidRPr="001B4503" w:rsidRDefault="007D0607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учреждениях культуры г. Кемерово состоялось 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31 005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культурно-досуговых мероприятий (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</w:t>
      </w:r>
      <w:r w:rsidR="00BA2B6C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– 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31 214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мероприяти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="00782904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904" w:rsidRPr="00C1571C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функциониру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отделени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музыкальной, художественной, общеэстетической направленности, театрального и хореографического искусства, в которых обучается 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9 233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(2015 год – 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8 876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ся), в т</w:t>
      </w:r>
      <w:r w:rsidR="00BA2B6C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A2B6C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самоокупаемости – 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3 014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(2015 год – </w:t>
      </w:r>
      <w:r w:rsidR="001B4503"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>2 628</w:t>
      </w:r>
      <w:r w:rsidRPr="001B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учащихся).</w:t>
      </w:r>
    </w:p>
    <w:p w:rsidR="00782904" w:rsidRDefault="00C1571C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</w:t>
      </w:r>
      <w:r w:rsidR="00782904"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82904"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конкурсов художественного творчества, 4 из которых состоялись под статусом «Региональный». Участие в конкурсах приняли 2 </w:t>
      </w: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939</w:t>
      </w:r>
      <w:r w:rsidR="00782904"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– юных музыкантов, художников, хореографов и театралов. Творческими коллективами и солистами школ культуры было проведено </w:t>
      </w: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2 030</w:t>
      </w:r>
      <w:r w:rsidR="00782904"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 год – 2 025 мероприятий)</w:t>
      </w:r>
      <w:r w:rsidR="00782904" w:rsidRPr="00C15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904" w:rsidRPr="006E128B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Музей-заповедник «Красная горка» 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посетили 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75,1</w:t>
      </w:r>
      <w:r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выездных мероприятий и сайта музея – 208,2 тыс. человек (2015 год – 188,5 тыс. человек)</w:t>
      </w:r>
      <w:r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культурно-просветительских мероприятий.</w:t>
      </w:r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музея введены новые образовательные программы и экскурсии «Голландия – маленькая великая страна», «Забойный </w:t>
      </w:r>
      <w:proofErr w:type="spellStart"/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B05AAF" w:rsidRPr="00B05A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«Музейный детектив</w:t>
      </w:r>
      <w:r w:rsidR="00B05AAF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«Город на двух берегах», запущен новый проект «Город на ладони» - цикл экскурсий, знакомящий с экспозициями и выставками музея посетителей с ограниченными возможностями здоровья.</w:t>
      </w:r>
    </w:p>
    <w:p w:rsidR="00782904" w:rsidRPr="006A5EED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постоянных читателей </w:t>
      </w:r>
      <w:r w:rsidR="006E128B" w:rsidRPr="006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E128B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библиотек </w:t>
      </w: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6E128B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>143,2</w:t>
      </w: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число посещений – </w:t>
      </w:r>
      <w:r w:rsidR="006E128B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1 465,1 </w:t>
      </w: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4259FE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яч.</w:t>
      </w: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фонд насчитывает </w:t>
      </w:r>
      <w:r w:rsidR="006E128B"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>824,2</w:t>
      </w:r>
      <w:r w:rsidRPr="006E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экземпляров.</w:t>
      </w:r>
    </w:p>
    <w:p w:rsidR="00782904" w:rsidRPr="004B49B5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репертуаре </w:t>
      </w:r>
      <w:r w:rsidRPr="006A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 для детей и молодежи 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премьерных спектакл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и 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спектаклей </w:t>
      </w:r>
      <w:r w:rsidR="004259FE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зрителей.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электронных продаж в 2016 году 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продано </w:t>
      </w:r>
      <w:r w:rsidR="006A5EED"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>2 044</w:t>
      </w:r>
      <w:r w:rsidRPr="006A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</w:t>
      </w:r>
      <w:r w:rsidR="006A5EED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9FE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год – </w:t>
      </w:r>
      <w:r w:rsidR="006A5EED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1 255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билетов).</w:t>
      </w:r>
    </w:p>
    <w:p w:rsidR="00782904" w:rsidRPr="004B49B5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4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клубных учреждениях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B5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8 018 мероприятий, которые посетило 207,5 тыс. человек (2015 год – 7</w:t>
      </w:r>
      <w:r w:rsidR="007D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9B5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мероприятий, 193,7 тыс. человек.), из них 2 850 мероприятий для детей до 14 лет (это игровые театрализованные представления, информационно-просветительские мероприятия, фестивали, конкурсы). 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учреждениях клубного типа работало </w:t>
      </w:r>
      <w:r w:rsidR="004B49B5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формирований, в которых занима</w:t>
      </w:r>
      <w:r w:rsidR="004259FE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</w:t>
      </w:r>
      <w:r w:rsidR="004B49B5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участников, </w:t>
      </w:r>
      <w:r w:rsidR="004B49B5"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B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имеют звание «Народный» и «Образцовый».</w:t>
      </w:r>
    </w:p>
    <w:p w:rsidR="00E557CD" w:rsidRPr="00975D26" w:rsidRDefault="00E557CD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782904" w:rsidRDefault="00782904" w:rsidP="00342489">
      <w:pPr>
        <w:pStyle w:val="2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</w:pPr>
      <w:bookmarkStart w:id="24" w:name="_Toc478641590"/>
      <w:r w:rsidRPr="00867E13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Спорт</w:t>
      </w:r>
      <w:bookmarkEnd w:id="24"/>
    </w:p>
    <w:p w:rsidR="00975D26" w:rsidRPr="00975D26" w:rsidRDefault="00975D26" w:rsidP="00975D26">
      <w:pPr>
        <w:rPr>
          <w:sz w:val="2"/>
          <w:lang w:eastAsia="ru-RU"/>
        </w:rPr>
      </w:pPr>
    </w:p>
    <w:p w:rsidR="00782904" w:rsidRPr="00B32620" w:rsidRDefault="00782904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систематически занимающихся спортом в городе составило </w:t>
      </w:r>
      <w:r w:rsidR="00867E13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278 130</w:t>
      </w: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867E13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6F6CAA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67E13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7E13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232 923</w:t>
      </w: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6F6CAA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867E13"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4AC5" w:rsidRPr="002E1D91" w:rsidRDefault="00BD4AC5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спортивных школах занимается 5 745 детей и подростков (в 2015 году –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5 082 человек</w:t>
      </w:r>
      <w:r w:rsidR="007938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23 отделениях по 20 видам спорта, в том числе - 14 видов спорта – по олимпийской программе.</w:t>
      </w:r>
    </w:p>
    <w:p w:rsidR="00782904" w:rsidRPr="002E1D91" w:rsidRDefault="00782904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празднованию Дня шахтера – 2016 на территории города Кемерово введены в эксплуатацию:</w:t>
      </w:r>
    </w:p>
    <w:p w:rsidR="00782904" w:rsidRPr="002E1D91" w:rsidRDefault="00782904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комплекс «К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емерово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им. Г.П. Груздева </w:t>
      </w:r>
      <w:r w:rsidR="00C54286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C54286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Молодежный, 7/2). Ядром комплекса является ледовая арена с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искусственным льдом площадью 1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545 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трибуной на 500 зрителей.</w:t>
      </w:r>
    </w:p>
    <w:p w:rsidR="00782904" w:rsidRPr="002E1D91" w:rsidRDefault="00782904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комплекс «Северный» (ул. Нахимова, 248), на базе которого работают отделения по волейболу, спортивным танцам, тайскому боксу, </w:t>
      </w:r>
      <w:proofErr w:type="spellStart"/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черлидингу</w:t>
      </w:r>
      <w:proofErr w:type="spellEnd"/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фитнес-аэробике. </w:t>
      </w:r>
    </w:p>
    <w:p w:rsidR="00782904" w:rsidRPr="002E1D91" w:rsidRDefault="00782904" w:rsidP="00342489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</w:t>
      </w:r>
      <w:r w:rsidR="0079382B">
        <w:rPr>
          <w:rFonts w:ascii="Times New Roman" w:eastAsia="Times New Roman" w:hAnsi="Times New Roman" w:cs="Times New Roman"/>
          <w:sz w:val="28"/>
          <w:szCs w:val="28"/>
          <w:lang w:eastAsia="ru-RU"/>
        </w:rPr>
        <w:t>оатлетический манеж (МАУДОД «ДЮС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Ш №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Ворошилова, 13). Полностью заменено напольное покрытие площадью 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тыс.</w:t>
      </w:r>
      <w:r w:rsidR="006F6CAA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782904" w:rsidRPr="002E1D91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1 346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соревнований, в которых приняли участие 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192,1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кемеровчан (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1 312 соревнований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2904" w:rsidRPr="002E1D91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соревнования разного уровня командировано 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, 1 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906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904" w:rsidRPr="00C758D5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2E1D91"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3 193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кемеровски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разряды и получили спортивные звания (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2 061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006F6CAA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лучших кемеровских спортсменов получили муниципальную стипендию на сумму </w:t>
      </w:r>
      <w:r w:rsidR="002E1D91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115,8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82904" w:rsidRPr="009230F5" w:rsidRDefault="00782904" w:rsidP="007829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Губернаторской программы «1</w:t>
      </w:r>
      <w:r w:rsidR="00C758D5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758D5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велосипедов – детям Кузбасса!» в городе Кемерово вручено более 1</w:t>
      </w:r>
      <w:r w:rsidR="006F6CAA"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велосипедов детям и подросткам из 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семей, отличникам учебы, студентам, </w:t>
      </w:r>
      <w:proofErr w:type="gramStart"/>
      <w:r w:rsidR="00C758D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 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C758D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758D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 скандинавских палок.</w:t>
      </w:r>
    </w:p>
    <w:p w:rsidR="00782904" w:rsidRPr="009230F5" w:rsidRDefault="00782904" w:rsidP="00FE133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организована работа 275 площадок, из них 14 площадок с уличными тренажерами, 1</w:t>
      </w:r>
      <w:r w:rsidR="009230F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для занятий шахматами, в том числе 15</w:t>
      </w:r>
      <w:r w:rsidR="009230F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вечерних спортивных площадок работают со спортивными организаторами, спортплощадки посетили </w:t>
      </w:r>
      <w:r w:rsidR="009230F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92,0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0F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проведено </w:t>
      </w:r>
      <w:r w:rsidR="009230F5"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7</w:t>
      </w:r>
      <w:r w:rsidRPr="009230F5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спортивных мероприятий.</w:t>
      </w:r>
    </w:p>
    <w:p w:rsidR="0061459F" w:rsidRPr="0038709F" w:rsidRDefault="0061459F" w:rsidP="00FE133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ru-RU"/>
        </w:rPr>
      </w:pPr>
    </w:p>
    <w:p w:rsidR="00782904" w:rsidRPr="00F7446D" w:rsidRDefault="00782904" w:rsidP="00FE1335">
      <w:pPr>
        <w:pStyle w:val="2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</w:pPr>
      <w:bookmarkStart w:id="25" w:name="_Toc478641591"/>
      <w:r w:rsidRPr="00F7446D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Молодежная политика</w:t>
      </w:r>
      <w:bookmarkEnd w:id="25"/>
    </w:p>
    <w:p w:rsidR="0061459F" w:rsidRPr="00F7446D" w:rsidRDefault="0061459F" w:rsidP="00FE1335">
      <w:pPr>
        <w:widowControl w:val="0"/>
        <w:rPr>
          <w:sz w:val="8"/>
          <w:lang w:eastAsia="ru-RU"/>
        </w:rPr>
      </w:pPr>
    </w:p>
    <w:p w:rsidR="00782904" w:rsidRPr="008F33B8" w:rsidRDefault="00782904" w:rsidP="00FE1335">
      <w:pPr>
        <w:widowControl w:val="0"/>
        <w:tabs>
          <w:tab w:val="left" w:pos="7938"/>
          <w:tab w:val="left" w:pos="9781"/>
        </w:tabs>
        <w:spacing w:after="0" w:line="240" w:lineRule="auto"/>
        <w:ind w:right="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0405413"/>
      <w:bookmarkStart w:id="27" w:name="_Toc478641592"/>
      <w:r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«Кемеровский центр молодежных инициатив» совместно с молодежными объединениями города </w:t>
      </w:r>
      <w:r w:rsidR="00F7446D"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744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201</w:t>
      </w:r>
      <w:r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44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</w:t>
      </w:r>
      <w:r w:rsidR="00F7446D"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44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проведено </w:t>
      </w:r>
      <w:r w:rsidR="00F7446D"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>1 530</w:t>
      </w:r>
      <w:r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46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молодежных мероприятий разной направленности, в которых </w:t>
      </w:r>
      <w:r w:rsidRPr="00F7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F7446D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  <w:bookmarkEnd w:id="26"/>
      <w:bookmarkEnd w:id="27"/>
    </w:p>
    <w:p w:rsidR="00782904" w:rsidRPr="008F33B8" w:rsidRDefault="00782904" w:rsidP="00FE1335">
      <w:pPr>
        <w:widowControl w:val="0"/>
        <w:tabs>
          <w:tab w:val="left" w:pos="7938"/>
          <w:tab w:val="left" w:pos="9781"/>
        </w:tabs>
        <w:spacing w:after="0" w:line="240" w:lineRule="auto"/>
        <w:ind w:right="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Toc478641593"/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направления «Гражданско-патриотическое воспитание» реализованы проекты «Дети войны», акци</w:t>
      </w:r>
      <w:r w:rsidR="00104A5A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«Свеча памяти», 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«Сирень Победы», </w:t>
      </w:r>
      <w:r w:rsidR="00104A5A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«Бессмертный 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полк», «Георгиевская ленточка», «Знамя победы» и др</w:t>
      </w:r>
      <w:r w:rsidR="00104A5A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военно-патриотические </w:t>
      </w:r>
      <w:proofErr w:type="spellStart"/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акции. Организован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«Кемерово – территория согласия»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«Дни молодого избирателя»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3B8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</w:t>
      </w:r>
      <w:r w:rsidR="00AE4F37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социальных проблем и развитию направлений му</w:t>
      </w:r>
      <w:r w:rsidR="008F33B8"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</w:t>
      </w:r>
      <w:r w:rsidRPr="008F3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8"/>
    </w:p>
    <w:p w:rsidR="00FE1335" w:rsidRPr="00FE1335" w:rsidRDefault="00FE1335" w:rsidP="00FE1335">
      <w:pPr>
        <w:widowControl w:val="0"/>
        <w:tabs>
          <w:tab w:val="left" w:pos="7938"/>
          <w:tab w:val="left" w:pos="9781"/>
        </w:tabs>
        <w:spacing w:after="0" w:line="240" w:lineRule="auto"/>
        <w:ind w:right="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_Toc478641594"/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Кемерово открыты представительства: Всероссийского молодежного общественного движения «Волонт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Победы», «Ассоциации волонт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центров». Работает городской подготовительный комитет «Навстречу Всемирному фестивалю молодежи и студентов – 2017». Активно развивается Федеральный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жный проект «Великая забытая </w:t>
      </w:r>
      <w:proofErr w:type="gramStart"/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E1335">
        <w:rPr>
          <w:rFonts w:ascii="Times New Roman" w:eastAsia="Times New Roman" w:hAnsi="Times New Roman" w:cs="Times New Roman"/>
          <w:sz w:val="28"/>
          <w:szCs w:val="28"/>
          <w:lang w:eastAsia="ru-RU"/>
        </w:rPr>
        <w:t>(о Первой мировой войне).</w:t>
      </w:r>
      <w:bookmarkEnd w:id="29"/>
    </w:p>
    <w:p w:rsidR="00D12D28" w:rsidRPr="00D12D28" w:rsidRDefault="00D12D28" w:rsidP="0079382B">
      <w:pPr>
        <w:widowControl w:val="0"/>
        <w:tabs>
          <w:tab w:val="left" w:pos="7938"/>
          <w:tab w:val="left" w:pos="9781"/>
        </w:tabs>
        <w:spacing w:after="0" w:line="240" w:lineRule="auto"/>
        <w:ind w:right="2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_Toc478641595"/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</w:t>
      </w:r>
      <w:proofErr w:type="spellStart"/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трудовой занятости молодежи на базе МБУ «Кемеровский центр молодежных инициатив» 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функционируют и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подростковые трудовые бригады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544 бойца)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9 отряд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0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подростковая бригада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2D28">
        <w:rPr>
          <w:rFonts w:ascii="Times New Roman" w:eastAsia="Times New Roman" w:hAnsi="Times New Roman" w:cs="Times New Roman"/>
          <w:sz w:val="28"/>
          <w:szCs w:val="28"/>
          <w:lang w:eastAsia="ru-RU"/>
        </w:rPr>
        <w:t>335 бойцов).</w:t>
      </w:r>
      <w:bookmarkEnd w:id="30"/>
    </w:p>
    <w:p w:rsidR="0040035D" w:rsidRPr="0079382B" w:rsidRDefault="0040035D" w:rsidP="0079382B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1C5F" w:rsidRPr="008F27EE" w:rsidRDefault="00DE1C5F" w:rsidP="0079382B">
      <w:pPr>
        <w:pStyle w:val="2"/>
        <w:keepNext w:val="0"/>
        <w:keepLines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bookmarkStart w:id="31" w:name="_Toc478641596"/>
      <w:r w:rsidRPr="008F27EE">
        <w:rPr>
          <w:rFonts w:ascii="Times New Roman" w:hAnsi="Times New Roman" w:cs="Times New Roman"/>
          <w:b/>
          <w:color w:val="auto"/>
          <w:sz w:val="32"/>
          <w:szCs w:val="28"/>
        </w:rPr>
        <w:t>З</w:t>
      </w:r>
      <w:r w:rsidR="00A745BF" w:rsidRPr="008F27EE">
        <w:rPr>
          <w:rFonts w:ascii="Times New Roman" w:hAnsi="Times New Roman" w:cs="Times New Roman"/>
          <w:b/>
          <w:color w:val="auto"/>
          <w:sz w:val="32"/>
          <w:szCs w:val="28"/>
        </w:rPr>
        <w:t>дравоохранение</w:t>
      </w:r>
      <w:bookmarkEnd w:id="31"/>
    </w:p>
    <w:p w:rsidR="00DE1C5F" w:rsidRPr="008F27EE" w:rsidRDefault="00DE1C5F" w:rsidP="00DE1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val="x-none" w:eastAsia="x-none"/>
        </w:rPr>
      </w:pPr>
    </w:p>
    <w:tbl>
      <w:tblPr>
        <w:tblpPr w:leftFromText="180" w:rightFromText="180" w:vertAnchor="text" w:horzAnchor="margin" w:tblpY="1296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1292"/>
        <w:gridCol w:w="1512"/>
        <w:gridCol w:w="1512"/>
      </w:tblGrid>
      <w:tr w:rsidR="008F27EE" w:rsidRPr="008F27EE" w:rsidTr="008F27EE">
        <w:trPr>
          <w:tblHeader/>
        </w:trPr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учреждений здравоохранения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F27EE" w:rsidRPr="008F27EE" w:rsidTr="008F27EE">
        <w:trPr>
          <w:trHeight w:val="287"/>
        </w:trPr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врачей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коек в муниципальных учреждениях здравоохранения 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коек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3,249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3,275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койко-дня в стационаре муниципальных учреждений здравоохранения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3 040,8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3 109,4</w:t>
            </w:r>
          </w:p>
        </w:tc>
      </w:tr>
      <w:tr w:rsidR="008F27EE" w:rsidRPr="008F27EE" w:rsidTr="008F27EE">
        <w:trPr>
          <w:trHeight w:val="836"/>
        </w:trPr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больного на койке в муниципальных учреждениях здравоохранения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пациентов, получивших лечение в стационарах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99 541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99 127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стоимость пролеченного больного в стационарах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32 745,3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33 479,1</w:t>
            </w:r>
          </w:p>
        </w:tc>
      </w:tr>
      <w:tr w:rsidR="008F27EE" w:rsidRPr="008F27EE" w:rsidTr="008F27EE">
        <w:tc>
          <w:tcPr>
            <w:tcW w:w="508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 скорой медицинской помощи</w:t>
            </w:r>
          </w:p>
        </w:tc>
        <w:tc>
          <w:tcPr>
            <w:tcW w:w="129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вызовов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172 679</w:t>
            </w:r>
          </w:p>
        </w:tc>
        <w:tc>
          <w:tcPr>
            <w:tcW w:w="1512" w:type="dxa"/>
            <w:vAlign w:val="center"/>
          </w:tcPr>
          <w:p w:rsidR="008F27EE" w:rsidRPr="008F27EE" w:rsidRDefault="008F27EE" w:rsidP="008F27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157 806</w:t>
            </w:r>
          </w:p>
        </w:tc>
      </w:tr>
    </w:tbl>
    <w:p w:rsidR="00DE1C5F" w:rsidRPr="0018473D" w:rsidRDefault="00DE1C5F" w:rsidP="008356F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745BF" w:rsidRPr="0018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населения, повышение качества и доступности медицинской помощи являются одним из приоритетных направлений в осуществлении социальной политики города. </w:t>
      </w:r>
    </w:p>
    <w:p w:rsidR="00E557CD" w:rsidRPr="0018473D" w:rsidRDefault="00E557CD" w:rsidP="008356F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73D" w:rsidRDefault="0018473D" w:rsidP="008356F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E557CD" w:rsidRPr="008356F6" w:rsidRDefault="00F67D4E" w:rsidP="0083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18473D"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рост стоимости единицы объема оказанной медицинской помощи по: </w:t>
      </w:r>
    </w:p>
    <w:p w:rsidR="0018473D" w:rsidRPr="008356F6" w:rsidRDefault="0018473D" w:rsidP="0083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дневным стационарам – на 6,4 % (2016 год – 971,3 рубля, 2015 год</w:t>
      </w:r>
      <w:r w:rsidR="008356F6"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56F6"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912,6</w:t>
      </w: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рубля)</w:t>
      </w:r>
      <w:r w:rsidR="008356F6"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A43" w:rsidRDefault="008356F6" w:rsidP="00285A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скорой медицинской помощи – на 5,6 % (2016 год – 2 302,3 рубля, 2015 год – 2 179,8 рубля)</w:t>
      </w:r>
      <w:r w:rsidR="00285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6F6" w:rsidRPr="008356F6" w:rsidRDefault="00285A43" w:rsidP="0083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стационарной медицинской помощи – на 2,3 % (2016 год –                      3 109,4 рубля, 2015 год – 3 040,8 рубля)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6F6" w:rsidRPr="008356F6" w:rsidRDefault="008356F6" w:rsidP="0083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стоимости единицы объема оказанной медицинской помощи связан с увеличением расходов на здравоохранение системы ОМС.</w:t>
      </w:r>
    </w:p>
    <w:p w:rsidR="008356F6" w:rsidRPr="008356F6" w:rsidRDefault="008356F6" w:rsidP="0083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прошлого года осталась стоимость единицы объема оказанной медицинской помощи по амбулаторной медицинской помощи (2016 год – 353,0 рубля, 2015 год – 353,8 рубля). </w:t>
      </w:r>
    </w:p>
    <w:p w:rsidR="00F67D4E" w:rsidRPr="009F11EE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работников муниципальных учреждений здравоохранения </w:t>
      </w:r>
      <w:r w:rsidR="001A656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1A656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а 1,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2015 год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27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 256,9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 (2015 год – 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26 753,8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рубля).</w:t>
      </w:r>
    </w:p>
    <w:p w:rsidR="00F67D4E" w:rsidRPr="009F11EE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родовых сертификатов из средств федерального бюджета выделено </w:t>
      </w:r>
      <w:r w:rsidR="009F11EE"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>68,96</w:t>
      </w:r>
      <w:r w:rsidRPr="009F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F67D4E" w:rsidRPr="003F3FC8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9F11EE"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внебюджетных средств (ОМС, ПД) приобретено медицинское оборудование</w:t>
      </w:r>
      <w:r w:rsidR="003F3FC8"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мебель, компьютеры и оргтехника</w:t>
      </w: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F3FC8"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86,8</w:t>
      </w: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рублей:</w:t>
      </w:r>
    </w:p>
    <w:p w:rsidR="00F67D4E" w:rsidRPr="003F3FC8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 прикроватный реаниматолога-анестезиолога, дефибриллятор-монитор, три светильника хирургических светодиодных (МБУЗ «ГКБ № 2);</w:t>
      </w:r>
    </w:p>
    <w:p w:rsidR="00F67D4E" w:rsidRPr="003F3FC8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два микробиологических бокса, аппарат ИВЛ (МБУЗ «ГКБ № 3);</w:t>
      </w:r>
    </w:p>
    <w:p w:rsidR="00F67D4E" w:rsidRPr="003F3FC8" w:rsidRDefault="00F67D4E" w:rsidP="00F67D4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 ультразвуковой диагностический с принадлежностями                              </w:t>
      </w:r>
      <w:proofErr w:type="gram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«ГКП  № 20»);</w:t>
      </w:r>
    </w:p>
    <w:p w:rsidR="00F67D4E" w:rsidRPr="003F3FC8" w:rsidRDefault="00F67D4E" w:rsidP="00F67D4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видеоколоноскоп</w:t>
      </w:r>
      <w:proofErr w:type="spell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видеоцентр</w:t>
      </w:r>
      <w:proofErr w:type="spell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эндоскопический, </w:t>
      </w:r>
      <w:proofErr w:type="spell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видеогастроскоп</w:t>
      </w:r>
      <w:proofErr w:type="spell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 ККДЦ»);</w:t>
      </w:r>
    </w:p>
    <w:p w:rsidR="00F67D4E" w:rsidRPr="003F3FC8" w:rsidRDefault="00F67D4E" w:rsidP="00F67D4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холодильный шкаф для медикаментов (МБУЗ «ДКБ № 1»);</w:t>
      </w:r>
    </w:p>
    <w:p w:rsidR="00F67D4E" w:rsidRPr="003F3FC8" w:rsidRDefault="00F67D4E" w:rsidP="00F67D4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инкубатор для новорожденных, коагулятор электрохирургический, монитор фетальный ЭКГ для однополой беременности с модулем печати                             </w:t>
      </w:r>
      <w:proofErr w:type="gram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МБУЗ «ДГКБ № 5»);</w:t>
      </w:r>
    </w:p>
    <w:p w:rsidR="00F67D4E" w:rsidRPr="003F3FC8" w:rsidRDefault="00F67D4E" w:rsidP="00F67D4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три стоматологические установки, аппарат эндодонтический                       </w:t>
      </w:r>
      <w:proofErr w:type="gramStart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МАУЗ « ГКСП № 1»);</w:t>
      </w:r>
    </w:p>
    <w:p w:rsidR="00F67D4E" w:rsidRPr="00780C18" w:rsidRDefault="00F67D4E" w:rsidP="00F67D4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F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оборудования рабочего места врача-стоматолога, аппарат для лечения диадинамическими токами, аппарат для УВЧ-</w:t>
      </w:r>
      <w:r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 (МАУЗ «ГКСП № 11»).</w:t>
      </w:r>
    </w:p>
    <w:p w:rsidR="00F67D4E" w:rsidRDefault="00C82B7B" w:rsidP="00F67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содержание службы крови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7D4E"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39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="00F67D4E"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C18"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направлено 12,9 млн. рублей (в 2015 году – 12,5 млн. рублей), для обеспечения бесплатным детским питанием детей первых 3-х лет жизни из малообеспеченных семей </w:t>
      </w:r>
      <w:r w:rsidR="00A55391"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0C18" w:rsidRPr="0078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2,7 млн. рублей (в 2015 году – 6,1 млн. рублей). </w:t>
      </w:r>
    </w:p>
    <w:p w:rsidR="00CF348D" w:rsidRDefault="00CF348D" w:rsidP="00F67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реализацию мероприятий по обеспечению безопасности пациентов и сотрудников за счет всех источников финансирования направлено 49,5 млн. рублей, на оборудование лечебно-профилактических учреждений средствами противопожарной безопасности – 6,7 млн. рублей, на реализацию мероприятий по усилению антитеррористической защищенности – 42,8 млн. рублей. </w:t>
      </w:r>
    </w:p>
    <w:p w:rsidR="00CF348D" w:rsidRPr="00780C18" w:rsidRDefault="00CF348D" w:rsidP="00F67D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</w:t>
      </w:r>
      <w:r w:rsidR="0029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переданы </w:t>
      </w:r>
      <w:r w:rsidR="0029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Федерации.</w:t>
      </w:r>
    </w:p>
    <w:p w:rsidR="004123F6" w:rsidRDefault="004123F6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Pr="0038709F" w:rsidRDefault="00B82385" w:rsidP="000E518D">
      <w:pPr>
        <w:pStyle w:val="31"/>
        <w:ind w:firstLine="709"/>
        <w:rPr>
          <w:color w:val="FF0000"/>
          <w:sz w:val="28"/>
          <w:szCs w:val="28"/>
        </w:rPr>
      </w:pPr>
    </w:p>
    <w:p w:rsidR="00B82385" w:rsidRPr="00B82385" w:rsidRDefault="005B5161" w:rsidP="00B82385">
      <w:pPr>
        <w:pStyle w:val="2"/>
        <w:jc w:val="center"/>
        <w:rPr>
          <w:sz w:val="2"/>
        </w:rPr>
      </w:pPr>
      <w:bookmarkStart w:id="32" w:name="_Toc478641597"/>
      <w:r w:rsidRPr="00043219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Социальная защита населения</w:t>
      </w:r>
      <w:bookmarkEnd w:id="32"/>
    </w:p>
    <w:tbl>
      <w:tblPr>
        <w:tblpPr w:leftFromText="180" w:rightFromText="180" w:vertAnchor="text" w:horzAnchor="margin" w:tblpY="150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82"/>
        <w:gridCol w:w="1330"/>
        <w:gridCol w:w="1283"/>
        <w:gridCol w:w="1276"/>
      </w:tblGrid>
      <w:tr w:rsidR="00043219" w:rsidRPr="00043219" w:rsidTr="00A55391">
        <w:trPr>
          <w:tblHeader/>
        </w:trPr>
        <w:tc>
          <w:tcPr>
            <w:tcW w:w="5382" w:type="dxa"/>
            <w:vAlign w:val="center"/>
          </w:tcPr>
          <w:p w:rsidR="00E05A39" w:rsidRPr="00043219" w:rsidRDefault="00E05A39" w:rsidP="00B278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B278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3" w:type="dxa"/>
            <w:vAlign w:val="center"/>
          </w:tcPr>
          <w:p w:rsidR="00E05A39" w:rsidRPr="00043219" w:rsidRDefault="00E05A39" w:rsidP="00B278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E05A39" w:rsidRPr="00043219" w:rsidRDefault="00E05A39" w:rsidP="00B278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043219" w:rsidRPr="00043219" w:rsidTr="00A55391">
        <w:tc>
          <w:tcPr>
            <w:tcW w:w="5382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учреждений социального обслуживания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83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219" w:rsidRPr="00043219" w:rsidTr="00A55391">
        <w:tc>
          <w:tcPr>
            <w:tcW w:w="5382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города, получивших социальные услуги в учреждениях социального обслуживания населения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vAlign w:val="center"/>
          </w:tcPr>
          <w:p w:rsidR="00E05A39" w:rsidRPr="00043219" w:rsidRDefault="009E115E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78 006</w:t>
            </w:r>
          </w:p>
        </w:tc>
        <w:tc>
          <w:tcPr>
            <w:tcW w:w="1276" w:type="dxa"/>
            <w:vAlign w:val="center"/>
          </w:tcPr>
          <w:p w:rsidR="00E05A39" w:rsidRPr="00043219" w:rsidRDefault="009E115E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75 011</w:t>
            </w:r>
          </w:p>
        </w:tc>
      </w:tr>
      <w:tr w:rsidR="00043219" w:rsidRPr="00043219" w:rsidTr="00A55391">
        <w:tc>
          <w:tcPr>
            <w:tcW w:w="5382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города, получивших адресную социальную помощь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</w:t>
            </w:r>
          </w:p>
        </w:tc>
        <w:tc>
          <w:tcPr>
            <w:tcW w:w="1276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</w:t>
            </w:r>
          </w:p>
        </w:tc>
      </w:tr>
      <w:tr w:rsidR="00043219" w:rsidRPr="00043219" w:rsidTr="00A55391">
        <w:trPr>
          <w:trHeight w:val="317"/>
        </w:trPr>
        <w:tc>
          <w:tcPr>
            <w:tcW w:w="5382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социальной помощи на 1 жителя, получающего адресную социальную помощь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1283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1 635,8</w:t>
            </w:r>
          </w:p>
        </w:tc>
        <w:tc>
          <w:tcPr>
            <w:tcW w:w="1276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1 716,4</w:t>
            </w:r>
          </w:p>
        </w:tc>
      </w:tr>
      <w:tr w:rsidR="00043219" w:rsidRPr="00043219" w:rsidTr="00A55391">
        <w:tc>
          <w:tcPr>
            <w:tcW w:w="5382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граждан, пользующихся льготами в соответствии с федеральными и областными законами</w:t>
            </w:r>
          </w:p>
        </w:tc>
        <w:tc>
          <w:tcPr>
            <w:tcW w:w="1330" w:type="dxa"/>
            <w:vAlign w:val="center"/>
          </w:tcPr>
          <w:p w:rsidR="00E05A39" w:rsidRPr="00043219" w:rsidRDefault="00E05A39" w:rsidP="00E05A3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234 082</w:t>
            </w:r>
          </w:p>
        </w:tc>
        <w:tc>
          <w:tcPr>
            <w:tcW w:w="1276" w:type="dxa"/>
            <w:vAlign w:val="center"/>
          </w:tcPr>
          <w:p w:rsidR="00E05A39" w:rsidRPr="00043219" w:rsidRDefault="00043219" w:rsidP="00E05A3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275 140</w:t>
            </w:r>
          </w:p>
        </w:tc>
      </w:tr>
    </w:tbl>
    <w:p w:rsidR="00E05A39" w:rsidRPr="0038709F" w:rsidRDefault="00E05A39" w:rsidP="00E05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12"/>
          <w:szCs w:val="32"/>
          <w:lang w:eastAsia="ru-RU"/>
        </w:rPr>
      </w:pPr>
    </w:p>
    <w:p w:rsidR="00E05A39" w:rsidRPr="0038709F" w:rsidRDefault="00E05A39" w:rsidP="00E0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</w:pPr>
    </w:p>
    <w:p w:rsidR="00E05A39" w:rsidRPr="0038709F" w:rsidRDefault="000A70BF" w:rsidP="00E0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x-none"/>
        </w:rPr>
      </w:pPr>
      <w:r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В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2016 год</w:t>
      </w:r>
      <w:r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у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на реализацию мероприятий социальной защиты населения направлено </w:t>
      </w:r>
      <w:r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2 749,6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млн. рублей за счет всех источников финансирования, что </w:t>
      </w:r>
      <w:r w:rsidR="005823CD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соответствует 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уровн</w:t>
      </w:r>
      <w:r w:rsidR="005823CD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ю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5823CD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годичной давности</w:t>
      </w:r>
      <w:r w:rsidR="00E05A39" w:rsidRPr="000A70BF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E05A39" w:rsidRPr="008E00AA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Полностью обеспечены мерами социальной поддержки, согласно нормативно-правовым документам всех уровней, </w:t>
      </w:r>
      <w:r w:rsidR="008E00AA" w:rsidRPr="008E00AA">
        <w:rPr>
          <w:rFonts w:ascii="Times New Roman" w:eastAsia="Times New Roman" w:hAnsi="Times New Roman" w:cs="Times New Roman"/>
          <w:sz w:val="28"/>
          <w:szCs w:val="24"/>
          <w:lang w:eastAsia="x-none"/>
        </w:rPr>
        <w:t>275,1</w:t>
      </w:r>
      <w:r w:rsidRPr="008E00A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тыс. человек. 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Среди получателей мер социальной поддержки:    </w:t>
      </w:r>
    </w:p>
    <w:p w:rsidR="00E05A39" w:rsidRPr="008E00AA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E00AA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152,1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тыс. чел</w:t>
      </w:r>
      <w:r w:rsidR="0097130F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овек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– по оплате жилья и коммунальных услуг,     </w:t>
      </w:r>
    </w:p>
    <w:p w:rsidR="00E05A39" w:rsidRPr="008E00AA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E00AA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73,3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тыс. чел</w:t>
      </w:r>
      <w:r w:rsidR="0097130F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овек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– по бесплатному и льготному проезду;  </w:t>
      </w:r>
    </w:p>
    <w:p w:rsidR="00E05A39" w:rsidRPr="008E00AA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E00AA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15,1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тыс. чел</w:t>
      </w:r>
      <w:r w:rsidR="0097130F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овек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– по выплате пенсии Кемеровской области;  </w:t>
      </w:r>
    </w:p>
    <w:p w:rsidR="00E05A39" w:rsidRPr="008E00AA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E00AA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18,3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тыс. чел</w:t>
      </w:r>
      <w:r w:rsidR="0097130F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овек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– по детским пособиям, </w:t>
      </w:r>
    </w:p>
    <w:p w:rsidR="00E05A39" w:rsidRPr="008F0552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•</w:t>
      </w:r>
      <w:r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ab/>
      </w:r>
      <w:r w:rsidR="008E00AA" w:rsidRPr="008E00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8,</w:t>
      </w:r>
      <w:r w:rsidR="008E00AA" w:rsidRPr="008F055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6</w:t>
      </w:r>
      <w:r w:rsidRPr="008F055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тыс. семей – по предоставлению субсидий на оплату ЖКУ</w:t>
      </w:r>
      <w:r w:rsidR="008F0552" w:rsidRPr="008F055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и др</w:t>
      </w:r>
      <w:r w:rsidRPr="008F055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E05A39" w:rsidRPr="008F0552" w:rsidRDefault="00E05A39" w:rsidP="00E05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32"/>
          <w:lang w:eastAsia="ru-RU"/>
        </w:rPr>
      </w:pPr>
    </w:p>
    <w:p w:rsidR="00E05A39" w:rsidRPr="008F0552" w:rsidRDefault="00E05A39" w:rsidP="002A7D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8F0552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Кроме того, в рамках реализации межведомственных проектов «Дети-инвалиды», «Дети улиц», «Доступная среда», «На защите детства», «Социально-игровая комната», «Каникулы», «Социальный профилакторий», «Социальная гостиная»:</w:t>
      </w:r>
    </w:p>
    <w:p w:rsidR="00E05A39" w:rsidRPr="00DA6B06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108 451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разнопланов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632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МБУ РЦ «Фламинго» (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="00E05A39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52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8F0552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05A39" w:rsidRPr="00DA6B06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CDB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предоставлено </w:t>
      </w:r>
      <w:r w:rsidR="001E7CDB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женщинам, оказавшимся в трудной жизненной ситуации и обратившимся в кризисное отделение </w:t>
      </w:r>
      <w:r w:rsidR="00FE05D0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FE05D0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A6B06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FE05D0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A6B06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63 консультации для </w:t>
      </w:r>
      <w:r w:rsidR="00DA6B06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05A39" w:rsidRPr="00DA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женщин);</w:t>
      </w:r>
    </w:p>
    <w:p w:rsidR="00E05A39" w:rsidRPr="009A5EA8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5EA8" w:rsidRP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>14 346</w:t>
      </w:r>
      <w:r w:rsidR="00E05A39" w:rsidRP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города оказана помощь через МКУ «Центр социальной помощи семье и детям»</w:t>
      </w:r>
      <w:r w:rsid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2015 году – 58 481 человеку)</w:t>
      </w:r>
      <w:r w:rsidR="00E05A39" w:rsidRP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39" w:rsidRPr="004679FE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предоставлено </w:t>
      </w:r>
      <w:r w:rsidR="009A5EA8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из малообеспеченных семей на базе </w:t>
      </w:r>
      <w:r w:rsidR="009A5EA8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благотворительного питания (</w:t>
      </w:r>
      <w:r w:rsidR="009A5EA8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FE05D0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A5EA8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5EA8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197 детям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05A39" w:rsidRPr="007E3A3F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17 917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проживающих в общежитиях, предоставлено 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72 924 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и детям (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FE05D0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22 589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патронаж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85 644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проведено 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5 038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занятий и культурно-досуговых мероприятий (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FE05D0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679FE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46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79FE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5 458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занятий);</w:t>
      </w:r>
    </w:p>
    <w:p w:rsidR="00E05A39" w:rsidRPr="007E3A3F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консультативного отделения МКУ «Центр социальной помощи семье и детям» предоставлено 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</w:t>
      </w:r>
      <w:r w:rsidR="00367807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367807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367807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для </w:t>
      </w:r>
      <w:r w:rsidR="007E3A3F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E05A39" w:rsidRPr="007E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семей) в рамках «Выездного социального консилиума» и «Скорой социальной помощи»;</w:t>
      </w:r>
    </w:p>
    <w:p w:rsidR="00E05A39" w:rsidRPr="00B96BBB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7807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5A39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03EBC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05A39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05A39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="00E05A39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учим самостоятельности» (грант на сумму 147,5 тыс. руб</w:t>
      </w:r>
      <w:r w:rsidR="00367807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05A39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3EBC" w:rsidRPr="0010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«Современное развитие» для подготовки детей-инвалидов к </w:t>
      </w:r>
      <w:r w:rsidR="00103EBC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жизни и интеграции в общество (грант на сумму 1 100,0 тыс. рублей) приняли участие по 50 детей-инвалидов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39" w:rsidRPr="00B96BBB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благотворительное посещение цирка, театров, музеев города, экскурсий для </w:t>
      </w:r>
      <w:r w:rsidR="00492433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3 977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малообеспеченных семей (</w:t>
      </w:r>
      <w:r w:rsidR="00492433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657A8A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92433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2433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>4 353</w:t>
      </w:r>
      <w:r w:rsidR="00E05A39" w:rsidRPr="00B9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семей);</w:t>
      </w:r>
    </w:p>
    <w:p w:rsidR="00E05A39" w:rsidRPr="004227E3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A8A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районах города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акция «Семья», в котор</w:t>
      </w:r>
      <w:r w:rsidR="00657A8A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1 556 чел</w:t>
      </w:r>
      <w:r w:rsidR="00072A54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39" w:rsidRPr="004227E3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воспитывающих детей-инвалидов</w:t>
      </w:r>
      <w:r w:rsidR="002E59E0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E0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курами 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кормами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обеспечено саженцами плодово-ягодных культур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, 358 семей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7E3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семенным картофелем;</w:t>
      </w:r>
    </w:p>
    <w:p w:rsidR="00E05A39" w:rsidRPr="00C324B9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реабилитаци</w:t>
      </w:r>
      <w:r w:rsidR="002E59E0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 </w:t>
      </w:r>
      <w:proofErr w:type="spellStart"/>
      <w:r w:rsidR="002E59E0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</w:t>
      </w:r>
      <w:proofErr w:type="spellEnd"/>
      <w:r w:rsidR="002E59E0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метод сказочки-</w:t>
      </w:r>
      <w:proofErr w:type="spellStart"/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подражалочки</w:t>
      </w:r>
      <w:proofErr w:type="spellEnd"/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</w:t>
      </w:r>
      <w:proofErr w:type="spellStart"/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веселого</w:t>
      </w:r>
      <w:proofErr w:type="spellEnd"/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</w:t>
      </w:r>
      <w:r w:rsidR="000779FC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от 2 до 5 лет. Ежемесячно</w:t>
      </w:r>
      <w:r w:rsidR="00E05A39" w:rsidRPr="004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участвуют в итоговых концертных мероприятиях для родителей с музыкальными сказками, сценками, что способствует развитию речи, общению (50 человек);</w:t>
      </w:r>
    </w:p>
    <w:p w:rsidR="00E05A39" w:rsidRPr="00607558" w:rsidRDefault="0097130F" w:rsidP="002A7D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A39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</w:t>
      </w:r>
      <w:r w:rsidR="002E59E0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A39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сбора и благотворительной выдачи вещей для молодых семей «Взаимопомощь» на базе отделений МКУ «Центр социальной помощи семье и детям»</w:t>
      </w:r>
      <w:r w:rsidR="002E59E0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населения, учреждений и организаций города принято </w:t>
      </w:r>
      <w:r w:rsidR="00CB567D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>27,0</w:t>
      </w:r>
      <w:r w:rsidR="00E05A39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единиц вещей и выдано </w:t>
      </w:r>
      <w:r w:rsidR="00CB567D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>1 778</w:t>
      </w:r>
      <w:r w:rsidR="00E05A39" w:rsidRPr="00C3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семьям, обратившимся за помощью (в 2015 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59E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CB567D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9E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CB567D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29,7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ед</w:t>
      </w:r>
      <w:r w:rsidR="00C324B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вещей для </w:t>
      </w:r>
      <w:r w:rsidR="00C324B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2 941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C324B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E05A39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E05A39" w:rsidRPr="00607558" w:rsidRDefault="00E05A39" w:rsidP="00E05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«Повышение качества жизни пожилых людей и инвалидов в 2015-2018 </w:t>
      </w:r>
      <w:r w:rsidR="00D44412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E05A39" w:rsidRPr="00607558" w:rsidRDefault="00E05A39" w:rsidP="00E05A39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необходимые социально-бытовые, социально-медицинские, социально-реабилитационные, социально-правовые и социально-психологические услуги</w:t>
      </w:r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58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 тыс. пожилым людям и инвалидам           </w:t>
      </w:r>
      <w:proofErr w:type="gramStart"/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607558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607558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7558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="00DD1770"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человек)</w:t>
      </w:r>
      <w:r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A39" w:rsidRPr="00B551FC" w:rsidRDefault="00E05A39" w:rsidP="00823EC7">
      <w:pPr>
        <w:widowControl w:val="0"/>
        <w:numPr>
          <w:ilvl w:val="0"/>
          <w:numId w:val="7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платные 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бытовые услуги (парикмахеров, швей, обувщиков) – </w:t>
      </w:r>
      <w:r w:rsidR="00607558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7558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607558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7558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E05A39" w:rsidRPr="00B551FC" w:rsidRDefault="00E05A39" w:rsidP="00823EC7">
      <w:pPr>
        <w:widowControl w:val="0"/>
        <w:numPr>
          <w:ilvl w:val="0"/>
          <w:numId w:val="7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«социального такси» 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1FC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969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пожилым людям и инвалидам 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551FC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DD1770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551FC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551FC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1 143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пожилым людям и инвалидам);</w:t>
      </w:r>
    </w:p>
    <w:p w:rsidR="00E05A39" w:rsidRPr="00FE2C44" w:rsidRDefault="00E05A39" w:rsidP="00823EC7">
      <w:pPr>
        <w:widowControl w:val="0"/>
        <w:numPr>
          <w:ilvl w:val="0"/>
          <w:numId w:val="7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 61 человек из числа немобильных и маломобильных граждан (пожилые люди и инвалиды), проживающи</w:t>
      </w:r>
      <w:r w:rsidR="00DD1770" w:rsidRPr="00E25A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2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домах, попадающих в 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 возможного затопления паводковыми водами (</w:t>
      </w:r>
      <w:r w:rsidR="00E25A4E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</w:t>
      </w:r>
      <w:r w:rsidR="00DD1770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E25A4E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71 чел</w:t>
      </w:r>
      <w:r w:rsidR="00DD1770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05A39" w:rsidRPr="00193C11" w:rsidRDefault="00E05A39" w:rsidP="00E05A39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«Планом действий по работе с бездомными </w:t>
      </w:r>
      <w:r w:rsidR="00FE2C44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Кемерово» социальны</w:t>
      </w:r>
      <w:r w:rsidR="00FE2C44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FE2C44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44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 1 943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E2C44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«Центр социальной адаптации населения г. Кемерово», в т</w:t>
      </w:r>
      <w:r w:rsidR="00316031"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F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социально-медицинского ухода – </w:t>
      </w:r>
      <w:r w:rsidR="00FE2C44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FE2C44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FE2C44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E2C44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2 060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</w:t>
      </w:r>
      <w:r w:rsidR="00316031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 медико-социального ухода – </w:t>
      </w:r>
      <w:r w:rsidR="00FE2C44"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19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E05A39" w:rsidRPr="00B551FC" w:rsidRDefault="00193C11" w:rsidP="00E05A39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655</w:t>
      </w:r>
      <w:r w:rsidR="00E05A39"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927"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</w:t>
      </w:r>
      <w:proofErr w:type="spellStart"/>
      <w:r w:rsidR="00627927"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="00E05A39"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поздравили </w:t>
      </w:r>
      <w:r w:rsidR="00E05A39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90, 95, 100-летними юбилеями на дому.</w:t>
      </w:r>
    </w:p>
    <w:p w:rsidR="00E05A39" w:rsidRPr="00B551FC" w:rsidRDefault="00E05A39" w:rsidP="00D444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«Плана мероприятий по социальной адаптации военнослужащих, граждан, уволенных с военной службы, и членов их семей на 2014-2016 </w:t>
      </w:r>
      <w:r w:rsidR="00D44412"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B551F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F5A8C" w:rsidRDefault="002F5A8C" w:rsidP="00E05A39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 культурными и праздничными мероприятиями 4 611 человек, уволенных с военной службы, и члены их семей;</w:t>
      </w:r>
    </w:p>
    <w:p w:rsidR="00E05A39" w:rsidRPr="00627927" w:rsidRDefault="00E05A39" w:rsidP="00E05A39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вручены подарочные наборы и поздравительные открытки к 71-й годовщине Победы в Великой Отечественной войне 5 177 ветеранам </w:t>
      </w:r>
      <w:proofErr w:type="spellStart"/>
      <w:r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4412"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2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Победы;</w:t>
      </w:r>
    </w:p>
    <w:p w:rsidR="00E05A39" w:rsidRPr="002F5A8C" w:rsidRDefault="002F5A8C" w:rsidP="00E05A39">
      <w:pPr>
        <w:numPr>
          <w:ilvl w:val="0"/>
          <w:numId w:val="7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Pr="002F5A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25-летию со дня образования Кемеровской областной организации Общероссийской общественной организации «Российский Союз ветеранов Афганистана» с вручением 2 членам организации бронзовых знаков «За заслуги перед городом Кемерово»</w:t>
      </w:r>
      <w:r w:rsidR="00E05A39" w:rsidRPr="002F5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208" w:rsidRPr="001B4A6C" w:rsidRDefault="003B1208" w:rsidP="003B120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5161" w:rsidRPr="005220C5" w:rsidRDefault="005B5161" w:rsidP="00464AA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33" w:name="_Toc478641598"/>
      <w:r w:rsidRPr="005220C5">
        <w:rPr>
          <w:rFonts w:ascii="Times New Roman" w:hAnsi="Times New Roman" w:cs="Times New Roman"/>
          <w:b/>
          <w:color w:val="auto"/>
        </w:rPr>
        <w:t>СФЕРА ЖИЗНЕОБЕСПЕЧЕНИЯ ГОРОДА</w:t>
      </w:r>
      <w:bookmarkEnd w:id="33"/>
    </w:p>
    <w:p w:rsidR="00434265" w:rsidRPr="001B4A6C" w:rsidRDefault="00434265" w:rsidP="00434265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14"/>
        </w:rPr>
      </w:pPr>
    </w:p>
    <w:p w:rsidR="00434265" w:rsidRPr="005220C5" w:rsidRDefault="00434265" w:rsidP="0043426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bookmarkStart w:id="34" w:name="_Toc478641599"/>
      <w:r w:rsidRPr="005220C5">
        <w:rPr>
          <w:rFonts w:ascii="Times New Roman" w:hAnsi="Times New Roman" w:cs="Times New Roman"/>
          <w:b/>
          <w:color w:val="auto"/>
          <w:sz w:val="32"/>
          <w:szCs w:val="28"/>
        </w:rPr>
        <w:t>Жилищно-коммунальное хозяйство</w:t>
      </w:r>
      <w:bookmarkEnd w:id="34"/>
    </w:p>
    <w:p w:rsidR="00434265" w:rsidRPr="001B4A6C" w:rsidRDefault="00434265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x-none"/>
        </w:rPr>
      </w:pPr>
    </w:p>
    <w:p w:rsidR="00434265" w:rsidRPr="005220C5" w:rsidRDefault="00D728A3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Организациями</w:t>
      </w:r>
      <w:r w:rsidR="00434265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коммунального комплекса </w:t>
      </w:r>
      <w:r w:rsidR="00940D12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ежегодно </w:t>
      </w:r>
      <w:r w:rsidR="00434265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выполняются </w:t>
      </w:r>
      <w:r w:rsidR="00940D12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по техническому перевооружению и капитальному ремонту объектов жизнеобеспечения. </w:t>
      </w:r>
    </w:p>
    <w:p w:rsidR="00940D12" w:rsidRPr="00846988" w:rsidRDefault="005220C5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940D12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сфере теплоснабжения выполнены работы по ремонту и реконструкции тепловых сетей (</w:t>
      </w: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2,6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км), </w:t>
      </w:r>
      <w:r w:rsidR="0034522C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замене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запорной арматуры (</w:t>
      </w: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225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шт.), ремонту котлов (</w:t>
      </w:r>
      <w:r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183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ед.) и ремонту центрального теплового пункта</w:t>
      </w:r>
      <w:r w:rsidR="0095326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D728A3" w:rsidRPr="005220C5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контрольного-</w:t>
      </w:r>
      <w:r w:rsidR="00D728A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спределительного пункта (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ед.); в сфере водоснабжения и водоотведения произведен ремонт и реконструкция сетей водоснабжения 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10,9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км), сетей водоотведения (0,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км), а также замена 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за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порной арматуры (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185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ед.); в сфере электроснабжения выполнен ремонт </w:t>
      </w:r>
      <w:r w:rsidR="0095326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реконструкция сетей электроснабжен</w:t>
      </w:r>
      <w:r w:rsidR="0095326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я (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62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км)</w:t>
      </w:r>
      <w:r w:rsidR="0095326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ремонт</w:t>
      </w:r>
      <w:r w:rsidR="0034522C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5326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трансформаторных подстанций (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353</w:t>
      </w:r>
      <w:r w:rsidR="00953263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ед.).</w:t>
      </w:r>
    </w:p>
    <w:p w:rsidR="00434265" w:rsidRPr="00846988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 год</w:t>
      </w:r>
      <w:r w:rsidR="005220C5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сфере жилищного хозяйства:</w:t>
      </w:r>
    </w:p>
    <w:p w:rsidR="00565E2C" w:rsidRPr="00846988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произведен капитальный ремонт 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85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дворовых территорий многоквартирных домов;</w:t>
      </w:r>
    </w:p>
    <w:p w:rsidR="00565E2C" w:rsidRPr="00846988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выполнен капитальный ремонт 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54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фасадов многоквартирных домов;</w:t>
      </w:r>
    </w:p>
    <w:p w:rsidR="00565E2C" w:rsidRPr="00846988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- установлен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детск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площадк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придомовой территории многоквартирн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дом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65E2C" w:rsidRPr="00846988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выполнены работы по замене 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аварийных перекрытий в жилых помещениях многоквартирных домов</w:t>
      </w:r>
      <w:r w:rsidR="00777AF0"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777AF0" w:rsidRPr="00846988" w:rsidRDefault="00777AF0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выполнены работы по устройству пандуса на 1 многоквартирном доме;</w:t>
      </w:r>
    </w:p>
    <w:p w:rsidR="00777AF0" w:rsidRPr="00846988" w:rsidRDefault="00777AF0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выполнен ремонт крыши на 1 многоквартирном доме;</w:t>
      </w:r>
    </w:p>
    <w:p w:rsidR="00777AF0" w:rsidRPr="00846988" w:rsidRDefault="00777AF0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выполнен капитальный ремонт выгребной ямы на 1 многоквартирном доме;</w:t>
      </w:r>
    </w:p>
    <w:p w:rsidR="00777AF0" w:rsidRPr="00846988" w:rsidRDefault="00777AF0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выполнен ремонт чердачных перекрытий на 12 многоквартирных домах.</w:t>
      </w:r>
    </w:p>
    <w:p w:rsidR="00777AF0" w:rsidRPr="00AD66C4" w:rsidRDefault="00777AF0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4698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Кроме того, в течение года выполнены работы по капитальному ремонту 4 </w:t>
      </w:r>
      <w:r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 жилых помещений.</w:t>
      </w:r>
    </w:p>
    <w:p w:rsidR="00434265" w:rsidRPr="00AD66C4" w:rsidRDefault="00565E2C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региональной программой </w:t>
      </w:r>
      <w:r w:rsidR="00E94755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капитального ремонта общего имуществ</w:t>
      </w:r>
      <w:r w:rsidR="00D76BE3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E94755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многоквартирных дом</w:t>
      </w:r>
      <w:r w:rsidR="00AD66C4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ов Кемеровской области выполнены работы на 107 многоквартирных домах города </w:t>
      </w:r>
      <w:r w:rsidR="00E94755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>Кемерово</w:t>
      </w:r>
      <w:r w:rsidR="00AD66C4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числе:</w:t>
      </w:r>
      <w:r w:rsidR="00E94755" w:rsidRPr="00AD66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D66C4" w:rsidRPr="0029265C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D66C4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Pr="00AD66C4">
        <w:rPr>
          <w:rFonts w:ascii="Times New Roman" w:hAnsi="Times New Roman" w:cs="Times New Roman"/>
          <w:sz w:val="28"/>
          <w:szCs w:val="28"/>
        </w:rPr>
        <w:t xml:space="preserve">ремонт внутридомовых </w:t>
      </w:r>
      <w:r w:rsidRPr="0029265C">
        <w:rPr>
          <w:rFonts w:ascii="Times New Roman" w:hAnsi="Times New Roman" w:cs="Times New Roman"/>
          <w:sz w:val="28"/>
          <w:szCs w:val="28"/>
        </w:rPr>
        <w:t xml:space="preserve">инженерных систем электроснабжения на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9265C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6C4" w:rsidRPr="0029265C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265C">
        <w:rPr>
          <w:rFonts w:ascii="Times New Roman" w:hAnsi="Times New Roman" w:cs="Times New Roman"/>
          <w:sz w:val="28"/>
          <w:szCs w:val="28"/>
        </w:rPr>
        <w:t xml:space="preserve">- ремонт внутридомовых инженерных систем теплоснабжения на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265C">
        <w:rPr>
          <w:rFonts w:ascii="Times New Roman" w:hAnsi="Times New Roman" w:cs="Times New Roman"/>
          <w:sz w:val="28"/>
          <w:szCs w:val="28"/>
        </w:rPr>
        <w:t xml:space="preserve"> многоквартирных д</w:t>
      </w:r>
      <w:r>
        <w:rPr>
          <w:rFonts w:ascii="Times New Roman" w:hAnsi="Times New Roman" w:cs="Times New Roman"/>
          <w:sz w:val="28"/>
          <w:szCs w:val="28"/>
        </w:rPr>
        <w:t>омах;</w:t>
      </w:r>
    </w:p>
    <w:p w:rsidR="00AD66C4" w:rsidRPr="0029265C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265C">
        <w:rPr>
          <w:rFonts w:ascii="Times New Roman" w:hAnsi="Times New Roman" w:cs="Times New Roman"/>
          <w:sz w:val="28"/>
          <w:szCs w:val="28"/>
        </w:rPr>
        <w:t xml:space="preserve">- ремонт внутридомовых инженерных систем водоснабжения на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65C">
        <w:rPr>
          <w:rFonts w:ascii="Times New Roman" w:hAnsi="Times New Roman" w:cs="Times New Roman"/>
          <w:sz w:val="28"/>
          <w:szCs w:val="28"/>
        </w:rPr>
        <w:t xml:space="preserve"> многоквартирных до</w:t>
      </w:r>
      <w:r>
        <w:rPr>
          <w:rFonts w:ascii="Times New Roman" w:hAnsi="Times New Roman" w:cs="Times New Roman"/>
          <w:sz w:val="28"/>
          <w:szCs w:val="28"/>
        </w:rPr>
        <w:t>мах;</w:t>
      </w:r>
    </w:p>
    <w:p w:rsidR="00AD66C4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265C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>монт крыш на 64 многоквартирных домах;</w:t>
      </w:r>
    </w:p>
    <w:p w:rsidR="00AD66C4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265C">
        <w:rPr>
          <w:rFonts w:ascii="Times New Roman" w:hAnsi="Times New Roman" w:cs="Times New Roman"/>
          <w:sz w:val="28"/>
          <w:szCs w:val="28"/>
        </w:rPr>
        <w:t xml:space="preserve">- ремонт </w:t>
      </w:r>
      <w:r>
        <w:rPr>
          <w:rFonts w:ascii="Times New Roman" w:hAnsi="Times New Roman" w:cs="Times New Roman"/>
          <w:sz w:val="28"/>
          <w:szCs w:val="28"/>
        </w:rPr>
        <w:t>фасадов</w:t>
      </w:r>
      <w:r w:rsidRPr="002926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65C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66C4" w:rsidRPr="0029265C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9265C">
        <w:rPr>
          <w:rFonts w:ascii="Times New Roman" w:hAnsi="Times New Roman" w:cs="Times New Roman"/>
          <w:sz w:val="28"/>
          <w:szCs w:val="28"/>
        </w:rPr>
        <w:t xml:space="preserve">- ремонт фундамента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265C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hAnsi="Times New Roman" w:cs="Times New Roman"/>
          <w:sz w:val="28"/>
          <w:szCs w:val="28"/>
        </w:rPr>
        <w:t>ых домах;</w:t>
      </w:r>
    </w:p>
    <w:p w:rsidR="00AD66C4" w:rsidRDefault="00AD66C4" w:rsidP="00AD66C4">
      <w:pPr>
        <w:pStyle w:val="ParagraphStyle5"/>
        <w:tabs>
          <w:tab w:val="left" w:pos="851"/>
        </w:tabs>
        <w:ind w:firstLine="708"/>
        <w:rPr>
          <w:rFonts w:ascii="Times New Roman" w:hAnsi="Times New Roman" w:cs="Times New Roman"/>
          <w:sz w:val="28"/>
        </w:rPr>
      </w:pPr>
      <w:r w:rsidRPr="0029265C">
        <w:rPr>
          <w:rFonts w:ascii="Times New Roman" w:hAnsi="Times New Roman" w:cs="Times New Roman"/>
          <w:noProof w:val="0"/>
          <w:sz w:val="28"/>
        </w:rPr>
        <w:t xml:space="preserve">- </w:t>
      </w:r>
      <w:r w:rsidRPr="0029265C">
        <w:rPr>
          <w:rFonts w:ascii="Times New Roman" w:hAnsi="Times New Roman" w:cs="Times New Roman"/>
          <w:sz w:val="28"/>
        </w:rPr>
        <w:t>ремонт или замена лифтового оборудования на 22 многоквартирных домах (</w:t>
      </w:r>
      <w:r>
        <w:rPr>
          <w:rFonts w:ascii="Times New Roman" w:hAnsi="Times New Roman" w:cs="Times New Roman"/>
          <w:sz w:val="28"/>
        </w:rPr>
        <w:t>96</w:t>
      </w:r>
      <w:r w:rsidRPr="0029265C">
        <w:rPr>
          <w:rFonts w:ascii="Times New Roman" w:hAnsi="Times New Roman" w:cs="Times New Roman"/>
          <w:sz w:val="28"/>
        </w:rPr>
        <w:t xml:space="preserve"> лифтов)</w:t>
      </w:r>
      <w:r>
        <w:rPr>
          <w:rFonts w:ascii="Times New Roman" w:hAnsi="Times New Roman" w:cs="Times New Roman"/>
          <w:sz w:val="28"/>
        </w:rPr>
        <w:t>.</w:t>
      </w:r>
    </w:p>
    <w:p w:rsidR="00AD66C4" w:rsidRPr="001B4A6C" w:rsidRDefault="00AD66C4" w:rsidP="004342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x-none"/>
        </w:rPr>
      </w:pPr>
    </w:p>
    <w:p w:rsidR="001D0B87" w:rsidRPr="007A4B46" w:rsidRDefault="001D0B87" w:rsidP="00464AA4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bookmarkStart w:id="35" w:name="_Toc478641600"/>
      <w:r w:rsidRPr="007A4B46">
        <w:rPr>
          <w:rFonts w:ascii="Times New Roman" w:hAnsi="Times New Roman" w:cs="Times New Roman"/>
          <w:b/>
          <w:color w:val="auto"/>
          <w:sz w:val="32"/>
          <w:szCs w:val="28"/>
        </w:rPr>
        <w:t>Благоустройство и развитие улично-дорожной сети</w:t>
      </w:r>
      <w:bookmarkEnd w:id="35"/>
    </w:p>
    <w:p w:rsidR="00850AB0" w:rsidRPr="007A4B46" w:rsidRDefault="00850AB0" w:rsidP="00850AB0">
      <w:pPr>
        <w:rPr>
          <w:sz w:val="6"/>
        </w:rPr>
      </w:pPr>
    </w:p>
    <w:p w:rsidR="00850AB0" w:rsidRPr="007A4B46" w:rsidRDefault="006A0020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Всего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1D0B87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1D0B87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городе </w:t>
      </w:r>
      <w:r w:rsidR="00850AB0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 ремонт дорог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50AB0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50AB0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 объектов) протяженностью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33,2</w:t>
      </w:r>
      <w:r w:rsidR="00850AB0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км, площадью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225,0</w:t>
      </w:r>
      <w:r w:rsidR="00850AB0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50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 протяженностью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23,3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км, площадью </w:t>
      </w:r>
      <w:r w:rsidR="007A4B46"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>217,8</w:t>
      </w:r>
      <w:r w:rsidRPr="007A4B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м).</w:t>
      </w:r>
    </w:p>
    <w:p w:rsidR="001142AF" w:rsidRPr="001A46E2" w:rsidRDefault="001142AF" w:rsidP="00C4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Капитально ремонт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ированы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12 участков дорог общей протяженностью 9,9 км площадью 110,7 тыс. кв. м.</w:t>
      </w:r>
    </w:p>
    <w:p w:rsidR="001D0B87" w:rsidRPr="0078337C" w:rsidRDefault="00342917" w:rsidP="00C4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Выполнены работы по ремонту асфальтобетонного покрытия на                  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улицах общей протяженностью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,0 км площадью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59,7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м, по устранению колейности на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 участках площадью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54,7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 (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34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участк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площадью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56,8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м), по 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ямочн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ому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ремонт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дорог площад</w:t>
      </w:r>
      <w:r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ью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133,0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</w:t>
      </w:r>
      <w:r w:rsidR="00850AB0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1D0B87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195,9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кв. м),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поверхностной обработке дорог площадью 245,1 тыс. кв. м (в 2015 году – 376,3 тыс. кв. м), 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ремонту трещин покрытия дорог с применением битумной мастики протяженностью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93,3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п. м (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25855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109,2</w:t>
      </w:r>
      <w:r w:rsidR="00667206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п. м),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восстановлению 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150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м бортового камня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2015 году – 772,8 п. м)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 устройству 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ремонту 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пешеходных тротуаров</w:t>
      </w:r>
      <w:r w:rsidR="00BB2C6D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объектах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2015 году – 75 объектов)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 устранению пучин </w:t>
      </w:r>
      <w:r w:rsidR="00916AAF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5 улицах </w:t>
      </w:r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ж. р. </w:t>
      </w:r>
      <w:proofErr w:type="spellStart"/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Ягуновка</w:t>
      </w:r>
      <w:proofErr w:type="spellEnd"/>
      <w:r w:rsidR="0053387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, Пионер</w:t>
      </w:r>
      <w:r w:rsidR="00BB2C6D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 ремонту обочин на </w:t>
      </w:r>
      <w:r w:rsidR="0031486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BB2C6D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>4 участках</w:t>
      </w:r>
      <w:r w:rsidR="00314863" w:rsidRPr="001A46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 2015 году – 13 объектов), по ремонту 3 мостовых сооружений (в 2015 году – 5 мостов), </w:t>
      </w:r>
      <w:r w:rsidR="003655A6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ремонту площадок на 13 остановках общественног</w:t>
      </w:r>
      <w:r w:rsidR="00B3256F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3655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транспорта по грузовой дороге в Кировский район</w:t>
      </w:r>
      <w:r w:rsidR="00BB2C6D" w:rsidRPr="00B3256F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8348E" w:rsidRPr="0078337C" w:rsidRDefault="00F8348E" w:rsidP="00C4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ремонта дорог частного сектора произведена отсыпка щебнем и </w:t>
      </w:r>
      <w:proofErr w:type="spellStart"/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грейдирование</w:t>
      </w:r>
      <w:proofErr w:type="spellEnd"/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127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</w:t>
      </w:r>
      <w:r w:rsidR="006C40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протяженностью</w:t>
      </w:r>
      <w:proofErr w:type="spellEnd"/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31,6 км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>158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</w:t>
      </w:r>
      <w:r w:rsidR="0078337C"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протяженностью 18,4 км</w:t>
      </w:r>
      <w:r w:rsidRPr="007833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</w:t>
      </w:r>
    </w:p>
    <w:p w:rsidR="006C4060" w:rsidRPr="0081516A" w:rsidRDefault="006C4060" w:rsidP="00BC6E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Произведена реконструкция кольца ТОКЕМ по просп. Советскому.</w:t>
      </w:r>
    </w:p>
    <w:p w:rsidR="00BC6EEB" w:rsidRPr="0081516A" w:rsidRDefault="00C4344B" w:rsidP="00BC6E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Выполнено строительство проездов и пешеходных дорожек на территории кладбищ «Центральное-5» (1 893 п. м) и «Кировское-</w:t>
      </w:r>
      <w:proofErr w:type="gramStart"/>
      <w:r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>3»</w:t>
      </w:r>
      <w:r w:rsidR="00E97FAE"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proofErr w:type="gramEnd"/>
      <w:r w:rsidR="00E97FAE"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Pr="008151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(1 093,5 п. м).</w:t>
      </w:r>
    </w:p>
    <w:p w:rsidR="001D0B87" w:rsidRPr="00387E93" w:rsidRDefault="001D0B87" w:rsidP="00F070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Восстановлено 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1 706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 удерживающих ограждений, нарушенных в результате дорожно-транспортных происшествий (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2 915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м). Кроме того, у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становлен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207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удерживающи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ограждени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>й,</w:t>
      </w:r>
      <w:r w:rsidR="00757B98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284</w:t>
      </w:r>
      <w:r w:rsidR="00F0708A" w:rsidRPr="00757B9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 </w:t>
      </w:r>
      <w:r w:rsidR="00F0708A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перильного ограждения</w:t>
      </w:r>
      <w:r w:rsidR="00757B98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, отремонтированы деревянные ограждения на 36 улицах общей протяженностью 11,4 км.</w:t>
      </w:r>
    </w:p>
    <w:p w:rsidR="001D0B87" w:rsidRPr="00387E93" w:rsidRDefault="001D0B87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предотвращения подтопления объектов жилого и нежилого фондов и улично-дорожной сети города, а также для предупреждения образования наледи на проезжих частях магистральных дорог выполнены работы по</w:t>
      </w:r>
      <w:r w:rsidR="00BB5CF1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вывозу снега с подтопляемых территорий, вскрытию кюветов, промывке водопропускных труб, очистке щелевых дождеприемников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Осуществлена промывка сетей ливневой канализации общей протяженностью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4 680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м, отремонтированы системы водоотведения на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объектах, произведен ремонт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135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колодцев (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118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колодца) и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 щелевых дождеприемников (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387E93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="00014B20"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п. м).</w:t>
      </w:r>
    </w:p>
    <w:p w:rsidR="00014B20" w:rsidRPr="001D6F55" w:rsidRDefault="00B365E5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7E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Выполнены работы по </w:t>
      </w:r>
      <w:r w:rsidR="009B62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строительству линии наружного освещения по просп. Кузнецкий (5 опор, 10 светильников), </w:t>
      </w:r>
      <w:r w:rsid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устройству освещения стоянки для </w:t>
      </w:r>
      <w:proofErr w:type="spellStart"/>
      <w:r w:rsid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большегрузов</w:t>
      </w:r>
      <w:proofErr w:type="spellEnd"/>
      <w:r w:rsid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(7 светильников) по ул. Тухачевского, по капитальному ремонту линии наружного освещения по ул. </w:t>
      </w:r>
      <w:r w:rsidR="001D6F55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Антипова, </w:t>
      </w:r>
      <w:r w:rsidR="009B62B2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установке 1</w:t>
      </w:r>
      <w:r w:rsidR="00387E93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93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одиночных светильников на опорах ЛЭП (</w:t>
      </w:r>
      <w:r w:rsidR="00387E93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387E93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387E93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95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светильников).</w:t>
      </w:r>
    </w:p>
    <w:p w:rsidR="001D0B87" w:rsidRPr="008E536F" w:rsidRDefault="001D0B87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целью предупреждения аварий природного характера и обеспечения безопасности населения </w:t>
      </w:r>
      <w:r w:rsidR="001D6F55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="001D6F55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предприятиями благоустройства выполнены работы по сносу </w:t>
      </w:r>
      <w:r w:rsidR="001D6F55" w:rsidRPr="001D6F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 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148</w:t>
      </w:r>
      <w:r w:rsidR="00666E89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опиловке 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3 635</w:t>
      </w:r>
      <w:r w:rsidR="00666E89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аварийных деревьев 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</w:t>
      </w:r>
      <w:proofErr w:type="gramStart"/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proofErr w:type="gramEnd"/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5 596</w:t>
      </w:r>
      <w:r w:rsidR="00666E89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1D6F55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1 289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деревьев</w:t>
      </w:r>
      <w:r w:rsidR="00666E89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соответственно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F95665" w:rsidRPr="008E536F" w:rsidRDefault="00F95665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озеленения города посажено 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96,2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саженцев деревьев и кустарников (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8E536F"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>75,3</w:t>
      </w:r>
      <w:r w:rsidRPr="008E536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шт.).</w:t>
      </w:r>
    </w:p>
    <w:p w:rsidR="00D27016" w:rsidRPr="00D27016" w:rsidRDefault="00D27016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7016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 году выполнены работы по строительству 5 скверов</w:t>
      </w:r>
      <w:r w:rsidR="008739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(сквер Дружбы народов, сквер им</w:t>
      </w:r>
      <w:r w:rsidR="00FD1A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8739B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8739B2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Резникова</w:t>
      </w:r>
      <w:proofErr w:type="spellEnd"/>
      <w:r w:rsidR="008739B2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сквер по ул. Ю. Двужильного, 22, сквер у ЗАГС Рудничного района, сквер строителей в ж. р. Лесная Поляна), по ремонту в 5 парках и скверах (по ул. Халтурина, ул. Орджоникидзе, Сосновый бор, парк победы им. Г.К. Жукова, парк «Кузбасский»).</w:t>
      </w:r>
      <w:r w:rsidR="00E837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Отремонтированы 5 фонтанов.</w:t>
      </w:r>
    </w:p>
    <w:p w:rsidR="00C31649" w:rsidRPr="00E837D8" w:rsidRDefault="00D27016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7016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C31649" w:rsidRPr="00D270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Pr="00D27016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C31649" w:rsidRPr="00D270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31649" w:rsidRPr="00E837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отремонтировано 18 </w:t>
      </w:r>
      <w:r w:rsidRPr="00E837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установлено 5 </w:t>
      </w:r>
      <w:r w:rsidR="00C31649" w:rsidRPr="00E837D8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детских площадок.</w:t>
      </w:r>
    </w:p>
    <w:p w:rsidR="00C31649" w:rsidRPr="000D3033" w:rsidRDefault="00373027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37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Выполнены работы по противоклещевой обработке озелененных 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территорий города и кладбищ общей площадью 153,3 га (</w:t>
      </w:r>
      <w:r w:rsidR="00E837D8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E837D8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E837D8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167,3 га). </w:t>
      </w:r>
    </w:p>
    <w:p w:rsidR="001D0B87" w:rsidRPr="000D3033" w:rsidRDefault="001D0B87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обеспечения безопасности дорожного движения установлено </w:t>
      </w:r>
      <w:r w:rsidR="000D3033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630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дорожных знаков, 28,8 п. м пешеходных ограждений, </w:t>
      </w:r>
      <w:r w:rsidR="00394B1F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установлено 5 и р</w:t>
      </w:r>
      <w:r w:rsidR="0008013B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еконструировано </w:t>
      </w:r>
      <w:r w:rsidR="00394B1F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15 </w:t>
      </w:r>
      <w:r w:rsidR="0008013B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светофорных объект</w:t>
      </w:r>
      <w:r w:rsidR="00394B1F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ов (в том числе по федеральной целевой программе – 7 ед.)</w:t>
      </w:r>
      <w:r w:rsidR="0008013B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установлено и отремонтировано 18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остановочны</w:t>
      </w:r>
      <w:r w:rsidR="0008013B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х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павильон</w:t>
      </w:r>
      <w:r w:rsidR="0008013B"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0D303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123F6" w:rsidRDefault="004123F6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x-none"/>
        </w:rPr>
      </w:pPr>
    </w:p>
    <w:p w:rsidR="00DA1C8F" w:rsidRDefault="00DA1C8F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x-none"/>
        </w:rPr>
      </w:pPr>
    </w:p>
    <w:p w:rsidR="00DA1C8F" w:rsidRDefault="00DA1C8F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x-none"/>
        </w:rPr>
      </w:pPr>
    </w:p>
    <w:p w:rsidR="00DA1C8F" w:rsidRDefault="00DA1C8F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x-none"/>
        </w:rPr>
      </w:pPr>
    </w:p>
    <w:p w:rsidR="00DA1C8F" w:rsidRPr="0038709F" w:rsidRDefault="00DA1C8F" w:rsidP="001D0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8"/>
          <w:lang w:eastAsia="x-none"/>
        </w:rPr>
      </w:pPr>
    </w:p>
    <w:p w:rsidR="005B5161" w:rsidRDefault="00464AA4" w:rsidP="008E07B2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bookmarkStart w:id="36" w:name="_Toc478641601"/>
      <w:r w:rsidRPr="00C552B4">
        <w:rPr>
          <w:rFonts w:ascii="Times New Roman" w:hAnsi="Times New Roman" w:cs="Times New Roman"/>
          <w:b/>
          <w:color w:val="auto"/>
          <w:sz w:val="32"/>
          <w:szCs w:val="28"/>
        </w:rPr>
        <w:lastRenderedPageBreak/>
        <w:t>Транспорт</w:t>
      </w:r>
      <w:bookmarkEnd w:id="36"/>
    </w:p>
    <w:p w:rsidR="00DA1C8F" w:rsidRPr="00DA1C8F" w:rsidRDefault="00DA1C8F" w:rsidP="00DA1C8F">
      <w:pPr>
        <w:rPr>
          <w:sz w:val="10"/>
        </w:rPr>
      </w:pPr>
    </w:p>
    <w:tbl>
      <w:tblPr>
        <w:tblStyle w:val="aa"/>
        <w:tblpPr w:leftFromText="180" w:rightFromText="180" w:vertAnchor="text" w:horzAnchor="margin" w:tblpY="82"/>
        <w:tblW w:w="9351" w:type="dxa"/>
        <w:tblLook w:val="04A0" w:firstRow="1" w:lastRow="0" w:firstColumn="1" w:lastColumn="0" w:noHBand="0" w:noVBand="1"/>
      </w:tblPr>
      <w:tblGrid>
        <w:gridCol w:w="5098"/>
        <w:gridCol w:w="1418"/>
        <w:gridCol w:w="1417"/>
        <w:gridCol w:w="1418"/>
      </w:tblGrid>
      <w:tr w:rsidR="00C552B4" w:rsidRPr="002A4084" w:rsidTr="002A4084">
        <w:tc>
          <w:tcPr>
            <w:tcW w:w="509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Показатель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4017A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Ед</w:t>
            </w:r>
            <w:r w:rsidR="004017A8" w:rsidRPr="002A4084">
              <w:rPr>
                <w:sz w:val="24"/>
                <w:szCs w:val="28"/>
              </w:rPr>
              <w:t>иницы</w:t>
            </w:r>
            <w:r w:rsidRPr="002A4084">
              <w:rPr>
                <w:sz w:val="24"/>
                <w:szCs w:val="28"/>
              </w:rPr>
              <w:t xml:space="preserve"> изм</w:t>
            </w:r>
            <w:r w:rsidR="004017A8" w:rsidRPr="002A4084">
              <w:rPr>
                <w:sz w:val="24"/>
                <w:szCs w:val="28"/>
              </w:rPr>
              <w:t>ерения</w:t>
            </w:r>
          </w:p>
        </w:tc>
        <w:tc>
          <w:tcPr>
            <w:tcW w:w="1417" w:type="dxa"/>
            <w:vAlign w:val="center"/>
          </w:tcPr>
          <w:p w:rsidR="00E720D8" w:rsidRPr="002A4084" w:rsidRDefault="00E720D8" w:rsidP="00C552B4">
            <w:pPr>
              <w:keepNext/>
              <w:keepLines/>
              <w:widowControl w:val="0"/>
              <w:ind w:left="-108" w:right="-108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E720D8" w:rsidRPr="002A4084" w:rsidRDefault="00403B9A" w:rsidP="00C552B4">
            <w:pPr>
              <w:keepNext/>
              <w:keepLines/>
              <w:widowControl w:val="0"/>
              <w:ind w:left="-108" w:right="-69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2016</w:t>
            </w:r>
            <w:r w:rsidR="00E720D8" w:rsidRPr="002A4084">
              <w:rPr>
                <w:sz w:val="24"/>
                <w:szCs w:val="28"/>
              </w:rPr>
              <w:t xml:space="preserve"> год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C552B4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 xml:space="preserve">Протяженность маршрутной сети, </w:t>
            </w:r>
          </w:p>
          <w:p w:rsidR="00E720D8" w:rsidRPr="002A4084" w:rsidRDefault="00E720D8" w:rsidP="00C552B4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вкл</w:t>
            </w:r>
            <w:r w:rsidR="00C552B4" w:rsidRPr="002A4084">
              <w:rPr>
                <w:sz w:val="24"/>
                <w:szCs w:val="28"/>
              </w:rPr>
              <w:t>ючая</w:t>
            </w:r>
            <w:r w:rsidRPr="002A4084">
              <w:rPr>
                <w:sz w:val="24"/>
                <w:szCs w:val="28"/>
              </w:rPr>
              <w:t xml:space="preserve"> сезонные маршруты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км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403B9A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4 505,3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4 404,2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Количество перевезенных пассажиров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млн. чел.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135,7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130,1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ind w:left="454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автотранспортом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млн. чел.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73,8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69,9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ind w:left="454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электротранспортом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млн. чел.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61,9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60,2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Выполнено рейсов автотранспортом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тыс. рейсов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2 557,3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2 534,2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Выполнено рейсов электротранспортом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тыс. рейсов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762,5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765,6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 xml:space="preserve">Количество маршрутов автотранспорта 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204</w:t>
            </w:r>
          </w:p>
        </w:tc>
        <w:tc>
          <w:tcPr>
            <w:tcW w:w="1418" w:type="dxa"/>
            <w:vAlign w:val="center"/>
          </w:tcPr>
          <w:p w:rsidR="00E720D8" w:rsidRPr="002A4084" w:rsidRDefault="00C552B4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199</w:t>
            </w:r>
          </w:p>
        </w:tc>
      </w:tr>
      <w:tr w:rsidR="004017A8" w:rsidRPr="002A4084" w:rsidTr="002A4084">
        <w:tc>
          <w:tcPr>
            <w:tcW w:w="5098" w:type="dxa"/>
            <w:vAlign w:val="center"/>
          </w:tcPr>
          <w:p w:rsidR="00E720D8" w:rsidRPr="002A4084" w:rsidRDefault="00E720D8" w:rsidP="007A12FD">
            <w:pPr>
              <w:keepNext/>
              <w:keepLines/>
              <w:widowControl w:val="0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Количество маршрутов электротранспорта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E720D8" w:rsidRPr="002A4084" w:rsidRDefault="00E720D8" w:rsidP="00E720D8">
            <w:pPr>
              <w:keepNext/>
              <w:keepLines/>
              <w:widowControl w:val="0"/>
              <w:jc w:val="center"/>
              <w:rPr>
                <w:sz w:val="24"/>
                <w:szCs w:val="28"/>
              </w:rPr>
            </w:pPr>
            <w:r w:rsidRPr="002A4084">
              <w:rPr>
                <w:sz w:val="24"/>
                <w:szCs w:val="28"/>
              </w:rPr>
              <w:t>14</w:t>
            </w:r>
          </w:p>
        </w:tc>
      </w:tr>
    </w:tbl>
    <w:p w:rsidR="005B5161" w:rsidRPr="0038709F" w:rsidRDefault="005B5161" w:rsidP="005B5161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B5161" w:rsidRPr="00FA53D5" w:rsidRDefault="005B5161" w:rsidP="0082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Пассажирские перевозки в городе Кемерово в </w:t>
      </w:r>
      <w:r w:rsidR="00403B9A"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 периоде</w:t>
      </w: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выполняли: ОАО «Кемеровская транспортная компания», ОАО «Кемеровское ПАТП № 1», АО «Кемеровская электротранспортная компания», ГП КО «Кемеровская автоколонна № 1237», ООО «Сибтехсервис-1», ООО «ТК» Автолайн»</w:t>
      </w:r>
      <w:r w:rsidR="00DE4328"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01.04.2016)</w:t>
      </w: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СибплодТранс</w:t>
      </w:r>
      <w:proofErr w:type="spellEnd"/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</w:t>
      </w:r>
      <w:r w:rsidR="00403B9A"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«ТК </w:t>
      </w: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«Автоколонна </w:t>
      </w:r>
      <w:r w:rsidR="00DE4328"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1962», ООО «КЭТ», некоммерческие партнерства «СКАТ» и «АРИАТ»,</w:t>
      </w:r>
      <w:r w:rsidR="00FD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индивидуальных </w:t>
      </w: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предпринимателя, имеющие лицензии на перевозки, и соисполнители пассажирских перевозок.</w:t>
      </w:r>
    </w:p>
    <w:p w:rsidR="005B5161" w:rsidRPr="00784E58" w:rsidRDefault="005B5161" w:rsidP="0082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сеть города </w:t>
      </w:r>
      <w:r w:rsidR="00931151"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FA53D5"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</w:t>
      </w:r>
      <w:r w:rsidR="00931151"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</w:t>
      </w:r>
      <w:r w:rsidR="00931151"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A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</w:t>
      </w:r>
      <w:r w:rsidR="00FA53D5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FA53D5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A53D5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пригородны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</w:t>
      </w:r>
      <w:r w:rsidR="00FA53D5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ч. 33 - сезонны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), 5</w:t>
      </w:r>
      <w:r w:rsidR="00403B9A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таксомоторны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</w:t>
      </w:r>
      <w:r w:rsidR="00FA53D5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сезонны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), 5 – трамвайны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троллейбусны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931151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61" w:rsidRPr="00A75837" w:rsidRDefault="005B5161" w:rsidP="005B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городских и пригородных маршрутах выполнено </w:t>
      </w:r>
      <w:r w:rsidR="00784E58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1 228,8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</w:t>
      </w:r>
      <w:r w:rsidR="00784E58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3B9A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03B9A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79B2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4E58"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84E58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1 259,4</w:t>
      </w:r>
      <w:r w:rsidR="00AE79B2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машино-часов), на таксомоторных маршрутах – </w:t>
      </w:r>
      <w:r w:rsidR="00784E58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1 127,6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 (</w:t>
      </w:r>
      <w:r w:rsidR="00784E58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3B9A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E79B2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84E58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84E58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1 111,5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машино-часов).</w:t>
      </w:r>
    </w:p>
    <w:p w:rsidR="005B5161" w:rsidRPr="00032241" w:rsidRDefault="00916033" w:rsidP="005B5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B42A8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 парк пассажирских предприятий города пополнился 2 автобусами 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 </w:t>
      </w:r>
      <w:r w:rsidR="00B42A8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ЛиАЗ-529360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школьными автобусами марки ПАЗ </w:t>
      </w:r>
      <w:r w:rsidR="00B42A8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состоянию н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8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="00B42A8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себя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1 024</w:t>
      </w:r>
      <w:r w:rsidR="00403B9A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5161" w:rsidRPr="00A7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8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491EF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8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491EF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A8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</w:t>
      </w:r>
      <w:r w:rsidR="00491EF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индивидуальным предпринимателям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403B9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троллейбус</w:t>
      </w:r>
      <w:r w:rsidR="00403B9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="00403B9A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5837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трамваев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084" w:rsidRDefault="00032241" w:rsidP="002A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по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транспортным картам составили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34,6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75B1B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Наличная выручка на городских перевозках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 на 1,4 % относительно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и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360,3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на пригородных перевозках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2,1 % 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98,8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блей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96,8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рублей), а на таксомоторн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перевозках снизилась на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91279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147,3</w:t>
      </w:r>
      <w:r w:rsidR="00AF3BB0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(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200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200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0256E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>156,7</w:t>
      </w:r>
      <w:r w:rsidR="005B5161" w:rsidRPr="0003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</w:t>
      </w:r>
    </w:p>
    <w:p w:rsidR="002A4084" w:rsidRDefault="002A4084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F7DCB" w:rsidRPr="00316CCB" w:rsidRDefault="003F7DCB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7" w:name="_Toc478641602"/>
      <w:r w:rsidRPr="00316CCB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РАБОТА С НАСЕЛЕНИЕМ</w:t>
      </w:r>
      <w:bookmarkEnd w:id="37"/>
    </w:p>
    <w:p w:rsidR="003F7DCB" w:rsidRPr="0038709F" w:rsidRDefault="003F7DCB" w:rsidP="002A40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7DCB" w:rsidRPr="007D2312" w:rsidRDefault="003F7DCB" w:rsidP="002A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городе Кемерово работают </w:t>
      </w:r>
      <w:r w:rsidR="00316CCB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7 760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органов территориального общественного самоуправления </w:t>
      </w:r>
      <w:r w:rsidR="00316CCB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ТОС) 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316CCB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316CCB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- 7 </w:t>
      </w:r>
      <w:r w:rsidR="001C71F7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316CCB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1C71F7"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316C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органов ТОС), которые </w:t>
      </w:r>
      <w:r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объединяют 23</w:t>
      </w:r>
      <w:r w:rsidR="00316CCB"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>,8</w:t>
      </w:r>
      <w:r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человек. </w:t>
      </w:r>
    </w:p>
    <w:p w:rsidR="003F7DCB" w:rsidRPr="00671D74" w:rsidRDefault="007D2312" w:rsidP="002A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3F7DCB"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3F7DCB" w:rsidRPr="007D23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органы ТОС приняли активное участие в мероприятиях, посвященных празднованию Года </w:t>
      </w:r>
      <w:r w:rsidR="003F7DCB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российского кино, Дню защитника Отечества, Международному женскому дню, Масленице</w:t>
      </w:r>
      <w:r w:rsidR="001C71F7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1C71F7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1-годовщине Великой Отечественной войне, Дню 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Ш</w:t>
      </w:r>
      <w:r w:rsidR="001C71F7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ахтера</w:t>
      </w:r>
      <w:r w:rsidR="003F7DCB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др. </w:t>
      </w:r>
    </w:p>
    <w:p w:rsidR="003F7DCB" w:rsidRPr="00671D74" w:rsidRDefault="003F7DCB" w:rsidP="002A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Всего проведено 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1 033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культурно-массовых мероприяти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029</w:t>
      </w:r>
      <w:r w:rsid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мероприятий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в которых приняли участие </w:t>
      </w:r>
      <w:r w:rsidR="00671D74"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>26,9</w:t>
      </w:r>
      <w:r w:rsidRPr="00671D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человек.</w:t>
      </w:r>
    </w:p>
    <w:p w:rsidR="00FF2E27" w:rsidRDefault="00FF2E27" w:rsidP="002A40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ктивисты ТОС постоянные участники городских конкурсов,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участие в конкурсах приняли 10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,1 тыс.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,9 тыс. человек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Активисты ТОС стали участниками различных акций, таких как «Доброе сердце», «Наш любимый Сосновый бор», «Мемориальная доска», «Мы в ответе за тех, кого приручили», «Батарейку сдай – здоровье получай», «Визит внимания», «Бриллиантовая свадьба», «Помоги собраться в школу» 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другие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F2E27" w:rsidRDefault="00FF2E27" w:rsidP="00FF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о инициативе активистов проведено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789 акций и субботников 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субботников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которых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приняли участие 42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32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человек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</w:t>
      </w:r>
    </w:p>
    <w:p w:rsidR="00FF2E27" w:rsidRDefault="00FF2E27" w:rsidP="00FF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В 3 квартале 2016 года реализованы 8 социально значимых проектов в 6 районах города в рамках г</w:t>
      </w:r>
      <w:r w:rsidR="009C7F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ородского конкурса «Город друзей – </w:t>
      </w:r>
      <w:r w:rsidRPr="00FF2E27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 идей»</w:t>
      </w:r>
      <w:r w:rsidR="009C7F7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3F7DCB" w:rsidRPr="009C7F70" w:rsidRDefault="003F7DCB" w:rsidP="00FF2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содействия развитию ТОС и обеспечения более эффективного взаимодействия органов местного самоуправления с населением в городе работают 47 центров по работе с населением (далее – ЦРН), расположенных в </w:t>
      </w:r>
      <w:r w:rsidRPr="009C7F7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жилых районах города.    </w:t>
      </w:r>
    </w:p>
    <w:p w:rsidR="00844B4D" w:rsidRPr="00510134" w:rsidRDefault="00844B4D" w:rsidP="003F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базе ЦРН проведено 488 консультативных приема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>696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обратившихся 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граждан (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844B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– 341 прием для 1 218 человек).</w:t>
      </w:r>
    </w:p>
    <w:p w:rsidR="003F7DCB" w:rsidRPr="00CD7F89" w:rsidRDefault="003F7DCB" w:rsidP="003F7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профилактики безнадзорности, правонарушений несовершеннолетних и защиты их прав проведено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1 199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рейд</w:t>
      </w:r>
      <w:r w:rsidR="00EE276E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неблагополучные семьи (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1 176 рейдов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1 301 рейд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к неблагополучным подросткам, находящимся в группе риска (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1 272 подростка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).  С участием неблагополучных семей и</w:t>
      </w:r>
      <w:r w:rsidR="00561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561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несовершеннолетних 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детей</w:t>
      </w:r>
      <w:proofErr w:type="gramEnd"/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подростков «группы риска» проведено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1 146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</w:t>
      </w:r>
      <w:r w:rsidR="00EE276E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2015 год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1 141 мероприятие</w:t>
      </w:r>
      <w:r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510134" w:rsidRPr="0051013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 том числе с участием </w:t>
      </w:r>
      <w:r w:rsidR="00510134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волонтерских отрядов – 154 мероприятия (в 2015 году – 145 мероприятий)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3F7DCB" w:rsidRPr="00CD7F89" w:rsidRDefault="003F7DCB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организации ежедневной занятости детей, подростков и взрослого населения работают 136 кружков и клубов по интересам, в которых занимаются 2 0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52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772178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72178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2 00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</w:t>
      </w:r>
    </w:p>
    <w:p w:rsidR="003F7DCB" w:rsidRPr="000D34EA" w:rsidRDefault="003F7DCB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месту жительства сотрудниками ЦРН проведено 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3 620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тематических, праздничных и спортивных мероприятий (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2015 год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CD7F89"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>3 535 мероприятий</w:t>
      </w:r>
      <w:r w:rsidRPr="00CD7F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), в которых 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приняли участие </w:t>
      </w:r>
      <w:r w:rsidR="00CD7F89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51,3 тыс.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человек.</w:t>
      </w:r>
    </w:p>
    <w:p w:rsidR="00823EC7" w:rsidRPr="000D34EA" w:rsidRDefault="003F7DCB" w:rsidP="0082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Ежегодно ЦРН принимают участие в городском смотре-конкурсе 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«Лучший центр по работе с населением». </w:t>
      </w:r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В 2016 году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победителями стали </w:t>
      </w:r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17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ЦРН («Ударник», «Северный», «Стратег», «</w:t>
      </w:r>
      <w:proofErr w:type="spellStart"/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Кемеровчанин</w:t>
      </w:r>
      <w:proofErr w:type="spellEnd"/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«Прометей»</w:t>
      </w:r>
      <w:r w:rsidR="00441030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, «Оптимист», «Волгоградский», «Комсомол</w:t>
      </w:r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ец</w:t>
      </w:r>
      <w:r w:rsidR="00441030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, «Родник», «Беспокойные сердца», «Надежда», «</w:t>
      </w:r>
      <w:proofErr w:type="spellStart"/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Азотовец</w:t>
      </w:r>
      <w:proofErr w:type="spellEnd"/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», «Петровский», Содружество», «Вдохновение», «Меридиан», «</w:t>
      </w:r>
      <w:proofErr w:type="spellStart"/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Красновка</w:t>
      </w:r>
      <w:proofErr w:type="spellEnd"/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). Поощрение получил ЦРН «Активист»</w:t>
      </w:r>
      <w:r w:rsidR="00441030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, «Добрыня», «Боровой»</w:t>
      </w:r>
      <w:r w:rsidR="000D34EA"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>, «Ленинградский», «Юность», «Крутой», «Квартал», «РТС».</w:t>
      </w:r>
      <w:r w:rsidRPr="000D34E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823EC7" w:rsidRPr="0038709F" w:rsidRDefault="00823EC7" w:rsidP="00823E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28"/>
          <w:lang w:eastAsia="x-none"/>
        </w:rPr>
      </w:pPr>
    </w:p>
    <w:p w:rsidR="00DE1C5F" w:rsidRPr="00E9531B" w:rsidRDefault="00DE1C5F" w:rsidP="00561C48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8" w:name="_Toc478641603"/>
      <w:r w:rsidRPr="00E9531B">
        <w:rPr>
          <w:rFonts w:ascii="Times New Roman" w:eastAsia="Times New Roman" w:hAnsi="Times New Roman" w:cs="Times New Roman"/>
          <w:b/>
          <w:color w:val="auto"/>
          <w:lang w:eastAsia="ru-RU"/>
        </w:rPr>
        <w:t>ОХРАНА ПРАВОПОРЯДКА</w:t>
      </w:r>
      <w:bookmarkEnd w:id="38"/>
    </w:p>
    <w:p w:rsidR="00DE1C5F" w:rsidRPr="00E9531B" w:rsidRDefault="00DE1C5F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7DCB" w:rsidRPr="00E9531B" w:rsidRDefault="003F7DCB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x-none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126"/>
        <w:gridCol w:w="1495"/>
        <w:gridCol w:w="1404"/>
      </w:tblGrid>
      <w:tr w:rsidR="00E9531B" w:rsidRPr="00E9531B" w:rsidTr="00DE1C5F">
        <w:trPr>
          <w:trHeight w:val="355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B37ECB">
            <w:pPr>
              <w:widowControl w:val="0"/>
              <w:spacing w:after="0" w:line="240" w:lineRule="auto"/>
              <w:ind w:left="-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B37EC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75295E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DCB" w:rsidRPr="00E9531B" w:rsidRDefault="0075295E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13 846</w:t>
            </w:r>
          </w:p>
        </w:tc>
      </w:tr>
      <w:tr w:rsidR="0038709F" w:rsidRPr="00E9531B" w:rsidTr="00DE1C5F"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уровень преступности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преступлений на </w:t>
            </w:r>
          </w:p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 населения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</w:tr>
      <w:tr w:rsidR="0038709F" w:rsidRPr="00E9531B" w:rsidTr="00DE1C5F">
        <w:trPr>
          <w:trHeight w:val="359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административных правонарушений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41 720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40 628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5" w:type="dxa"/>
            <w:vAlign w:val="center"/>
          </w:tcPr>
          <w:p w:rsidR="003F7DCB" w:rsidRPr="00E9531B" w:rsidRDefault="0075295E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404" w:type="dxa"/>
            <w:vAlign w:val="center"/>
          </w:tcPr>
          <w:p w:rsidR="003F7DCB" w:rsidRPr="00E9531B" w:rsidRDefault="0075295E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в результате преступлений (в т.</w:t>
            </w:r>
            <w:r w:rsidR="00483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в ДТП)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</w:t>
            </w:r>
            <w:r w:rsidR="00465EA8"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(</w:t>
            </w:r>
            <w:r w:rsidR="00465EA8"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преступлений всего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7 513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Раскрыто преступлений из числа зарегистрированных в соответствующем периоде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6 574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6 522</w:t>
            </w:r>
          </w:p>
        </w:tc>
      </w:tr>
      <w:tr w:rsidR="0038709F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Раскрываемость по установленным лицам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04" w:type="dxa"/>
            <w:vAlign w:val="center"/>
          </w:tcPr>
          <w:p w:rsidR="003F7DCB" w:rsidRPr="00E9531B" w:rsidRDefault="00E9531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E9531B" w:rsidRPr="00E9531B" w:rsidTr="00DE1C5F">
        <w:trPr>
          <w:trHeight w:val="355"/>
        </w:trPr>
        <w:tc>
          <w:tcPr>
            <w:tcW w:w="4531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Раскрываемость по расследованным уголовным делам</w:t>
            </w:r>
          </w:p>
        </w:tc>
        <w:tc>
          <w:tcPr>
            <w:tcW w:w="2126" w:type="dxa"/>
            <w:vAlign w:val="center"/>
          </w:tcPr>
          <w:p w:rsidR="003F7DCB" w:rsidRPr="00E9531B" w:rsidRDefault="003F7DCB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5" w:type="dxa"/>
            <w:vAlign w:val="center"/>
          </w:tcPr>
          <w:p w:rsidR="003F7DCB" w:rsidRPr="00E9531B" w:rsidRDefault="00465EA8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404" w:type="dxa"/>
            <w:vAlign w:val="center"/>
          </w:tcPr>
          <w:p w:rsidR="003F7DCB" w:rsidRPr="00E9531B" w:rsidRDefault="00465EA8" w:rsidP="00DE1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</w:tr>
    </w:tbl>
    <w:p w:rsidR="003F7DCB" w:rsidRPr="002A4084" w:rsidRDefault="003F7DCB" w:rsidP="003F7D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x-none"/>
        </w:rPr>
      </w:pPr>
    </w:p>
    <w:p w:rsidR="003F7DCB" w:rsidRPr="0038709F" w:rsidRDefault="003F7DCB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p w:rsidR="003F7DCB" w:rsidRPr="00F723C2" w:rsidRDefault="00483255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DCB" w:rsidRPr="004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Pr="004832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DCB" w:rsidRPr="0048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Кемерово зарегистрировано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13 846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676F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DCB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6CAC" w:rsidRDefault="0082668C" w:rsidP="00826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обстановка</w:t>
      </w:r>
      <w:r w:rsidR="0045676F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остается стабильной. Уровень преступности в расчете на 10 тыс</w:t>
      </w:r>
      <w:r w:rsidR="00A25741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населения </w:t>
      </w:r>
      <w:r w:rsidR="00483255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снизился на 4,7 % по сравнению с </w:t>
      </w:r>
      <w:r w:rsidR="00A25741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483255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25741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(</w:t>
      </w:r>
      <w:r w:rsidR="00483255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250,3</w:t>
      </w:r>
      <w:r w:rsidR="00A25741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еступлений</w:t>
      </w:r>
      <w:r w:rsidR="00A25741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Меньше совершенно 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с причинением тяжкого вреда здоровью 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2015 год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5E7D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повлекших смерть </w:t>
      </w:r>
      <w:r w:rsidR="00F723C2" w:rsidRPr="00F7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(снижение на 23,4 %). </w:t>
      </w:r>
    </w:p>
    <w:p w:rsidR="0082668C" w:rsidRPr="00DC35F5" w:rsidRDefault="0082668C" w:rsidP="00826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</w:t>
      </w:r>
      <w:r w:rsidR="00FF4ED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совершенных преступлений</w:t>
      </w:r>
      <w:r w:rsidR="00F332B2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собственности </w:t>
      </w:r>
      <w:r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7 738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84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FF4ED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9 406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ED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4ED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84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квартирных </w:t>
      </w:r>
      <w:r w:rsidR="00F332B2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2B2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2016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664C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797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совершенных в общественных местах города (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6 309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2016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6 795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2015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5149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3797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снизилась подростковая преступность с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0D3797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в 2015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3797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335</w:t>
      </w:r>
      <w:r w:rsidR="000D3797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2016 год</w:t>
      </w:r>
      <w:r w:rsidR="003410BD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04CF" w:rsidRPr="00341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DCB" w:rsidRPr="00092A6C" w:rsidRDefault="003F7DCB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Подразделениями Управления МВД России по городу Кемерово выполнялись программы и планы мероприятий по профилактике правонарушений; наркотической и алкогольной зависимости среди </w:t>
      </w:r>
      <w:r w:rsidRPr="00DC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кемеровчан; по противодействию преступлений в сфере закупок товаров, работ, услуг для обеспечения государственных и муниципальных нужд; противодействию экстремизму и терроризму. </w:t>
      </w:r>
    </w:p>
    <w:p w:rsidR="002809AA" w:rsidRDefault="002809AA" w:rsidP="002809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 контроль за соблюдением законодательства в сфере оборота оружия. В результате проведенной работы число преступлений, совершенных с применением огнестрельного оружия, снижено в 2 раза по сравнению с             </w:t>
      </w:r>
      <w:r w:rsidR="0078730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679" w:rsidRPr="00092A6C" w:rsidRDefault="00AC2FEA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г. Кемерово поставлены на миграционный учет по месту пребывания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20 130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гражданина (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21 814 граждан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Совместно с УФМС России по Кемеровской области выявлено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2 765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миграционного законодательства (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5 382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Возбуждено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уголовных дел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незаконное пересечение границы </w:t>
      </w:r>
      <w:proofErr w:type="gramStart"/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="009925C0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925C0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5C0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возбуждение национальной, расовой или религиозной вражды, </w:t>
      </w:r>
      <w:r w:rsidR="00092A6C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25C0" w:rsidRPr="000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организацию незаконной миграции. </w:t>
      </w:r>
    </w:p>
    <w:p w:rsidR="00F069D7" w:rsidRPr="005E7B51" w:rsidRDefault="009A6AC5" w:rsidP="003F7D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целенаправленным мерам по снижению аварийности на дорогах города сократилось число поставленных на учет дорожно-транспортных происшествий (2016 год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год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совершенных в со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стоянии алкогольного опьянения 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(2016 год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участием детей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69D7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069D7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 год – </w:t>
      </w:r>
      <w:r w:rsidR="005E7B51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069D7" w:rsidRPr="005E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A6B0A" w:rsidRPr="0038709F" w:rsidRDefault="009A6B0A" w:rsidP="009A6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2015 годом увеличена раскрываемость преступлений             </w:t>
      </w:r>
      <w:proofErr w:type="gramStart"/>
      <w:r w:rsidRPr="001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5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7 493 до 7 513), больше расследовано и направлено в суд уголовных дел. </w:t>
      </w:r>
      <w:r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Улучшены показатели по расследованию грабежей (на </w:t>
      </w:r>
      <w:r w:rsidR="00153C4C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краж (на </w:t>
      </w:r>
      <w:r w:rsidR="00153C4C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736973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число раскрытых </w:t>
      </w:r>
      <w:r w:rsidR="000C34BE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против личности (</w:t>
      </w:r>
      <w:r w:rsid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1 581 в 2015 году </w:t>
      </w:r>
      <w:r w:rsidR="00326279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1 668 в 2016 году), более чем на 40,0 % возросла раскрываемость побоев, на 6,0 % - раскрываемость </w:t>
      </w:r>
      <w:r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с при</w:t>
      </w:r>
      <w:r w:rsidR="00326279" w:rsidRPr="00326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чинением легкого вреда здоровью.</w:t>
      </w:r>
    </w:p>
    <w:p w:rsidR="003F7DCB" w:rsidRPr="002D47C2" w:rsidRDefault="00982EF9" w:rsidP="00157F9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на учет 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1 732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78669E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незаконного оборота наркотиков (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1 152 преступления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1 333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561C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сбыта (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>829 фактов</w:t>
      </w:r>
      <w:r w:rsidR="003F7DCB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Раскрываемость </w:t>
      </w:r>
      <w:r w:rsidR="0078669E" w:rsidRPr="0098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3F7DCB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наркотиков, составила 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34,4</w:t>
      </w:r>
      <w:r w:rsidR="003F7DCB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F7DCB" w:rsidRPr="002D47C2" w:rsidRDefault="003F7DCB" w:rsidP="00157F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проводятся мероприятия по контролю за оборотом алкогольной продукции.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891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объектов, торгующих спиртосодержащими напитками</w:t>
      </w:r>
      <w:r w:rsidR="0082668C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887 проверок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выявлено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719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 Изъято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13,5 тыс.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продукции, </w:t>
      </w:r>
      <w:r w:rsidR="002838D8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наложенных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</w:t>
      </w:r>
      <w:r w:rsidR="002838D8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2 868,0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838D8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="002838D8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3 487,0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взыскано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1 182,0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47C2"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>1 376,0</w:t>
      </w:r>
      <w:r w:rsidRPr="002D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</w:p>
    <w:p w:rsidR="002A4084" w:rsidRDefault="002A4084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2A4084" w:rsidRDefault="002A4084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2A4084" w:rsidRDefault="002A4084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F7DCB" w:rsidRPr="007A4F80" w:rsidRDefault="003F7DCB" w:rsidP="002A4084">
      <w:pPr>
        <w:pStyle w:val="1"/>
        <w:keepNext w:val="0"/>
        <w:keepLines w:val="0"/>
        <w:widowControl w:val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39" w:name="_Toc478641604"/>
      <w:r w:rsidRPr="007A4F80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>СРЕДСТВА МАССОВОЙ ИНФОРМАЦИИ</w:t>
      </w:r>
      <w:bookmarkEnd w:id="39"/>
    </w:p>
    <w:p w:rsidR="003F7DCB" w:rsidRPr="007A4F80" w:rsidRDefault="003F7DCB" w:rsidP="002A40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DCB" w:rsidRPr="00DF3C82" w:rsidRDefault="003F7DCB" w:rsidP="002A4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</w:t>
      </w:r>
      <w:r w:rsidR="007A4F80" w:rsidRPr="007A4F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по работе со средствами массовой информации администрации г. Кемерово продолжено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центральными, областными и местными средствами массовой информации,</w:t>
      </w:r>
      <w:r w:rsidRPr="00DF3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агентствами.</w:t>
      </w:r>
    </w:p>
    <w:p w:rsidR="003F7DCB" w:rsidRPr="00DF3C82" w:rsidRDefault="003F7DCB" w:rsidP="002A4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выпусках пресс-релизов вышло </w:t>
      </w:r>
      <w:r w:rsidR="00712B85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анонс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2B85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2B85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4F80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F3C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Ежедневно пресс-релизы получают более 100 </w:t>
      </w:r>
      <w:r w:rsidRPr="00DF3C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адресатов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DCB" w:rsidRPr="00DF3C82" w:rsidRDefault="003F7DCB" w:rsidP="002A4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пресс-конференций и брифингов. Вышло в эфир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5 156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видеосюжет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новостных выпусках телеканалов ГТРК «Кузбасс», «СТС-Кузбасс», «ТВ-Мост», «Мой город» (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4 220 видеосюжетов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F7DCB" w:rsidRPr="00DF3C82" w:rsidRDefault="003F7DCB" w:rsidP="002A4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местных и региональных периодических изданиях опубликовано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2 596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9C1397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2 943 материала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посвященных различным сферам жизнедеятельности города, из них по информационным поводам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работе со средствами массовой информации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2 124</w:t>
      </w:r>
      <w:r w:rsidR="009C1397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(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1 799 публикаций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7DCB" w:rsidRDefault="003F7DCB" w:rsidP="002A408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</w:t>
      </w:r>
      <w:r w:rsidR="00694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деятельности </w:t>
      </w:r>
      <w:r w:rsidR="00694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сопровождение мероприятий в рамках проектов «День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ахтера», «День Победы», «Субботники», «Ремонт 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</w:t>
      </w:r>
      <w:r w:rsidR="001E33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«Ремонт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40" w:name="_GoBack"/>
      <w:bookmarkEnd w:id="40"/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рог», </w:t>
      </w:r>
      <w:r w:rsidR="009C1397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«Благоустройство», 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«Дошкольное образование», «Развитие спорта», «Экология», «Развитие жилищного строительства», «Транспорт», «Работа с населением»</w:t>
      </w:r>
      <w:r w:rsidR="009C1397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«Строительство объектов соц</w:t>
      </w:r>
      <w:r w:rsidR="00DF3C82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</w:t>
      </w:r>
      <w:r w:rsidR="009C1397"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сферы»</w:t>
      </w:r>
      <w:r w:rsidRPr="00DF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392" w:rsidRDefault="001E3392" w:rsidP="003F7D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</w:t>
      </w:r>
      <w:r w:rsidR="00B145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 </w:t>
      </w:r>
      <w:r w:rsidR="00B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России-Кузбасс» вышло 4 прямых радиоэфира Главы города. </w:t>
      </w:r>
    </w:p>
    <w:p w:rsidR="00B14560" w:rsidRPr="00DF3C82" w:rsidRDefault="00B14560" w:rsidP="003F7D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Pr="00B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Кемерово </w:t>
      </w:r>
      <w:hyperlink r:id="rId30" w:history="1">
        <w:r w:rsidRPr="00B14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www.kemerovo.ru</w:t>
        </w:r>
      </w:hyperlink>
      <w:r w:rsidRPr="00B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о политической, экономической и культурной жизни города, нормативные документы, аудио-, фото- и видеоматериалы.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14560" w:rsidRPr="00DF3C82" w:rsidSect="006E3580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DE" w:rsidRDefault="00AE3EDE">
      <w:pPr>
        <w:spacing w:after="0" w:line="240" w:lineRule="auto"/>
      </w:pPr>
      <w:r>
        <w:separator/>
      </w:r>
    </w:p>
  </w:endnote>
  <w:endnote w:type="continuationSeparator" w:id="0">
    <w:p w:rsidR="00AE3EDE" w:rsidRDefault="00AE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538671"/>
      <w:docPartObj>
        <w:docPartGallery w:val="Page Numbers (Bottom of Page)"/>
        <w:docPartUnique/>
      </w:docPartObj>
    </w:sdtPr>
    <w:sdtEndPr/>
    <w:sdtContent>
      <w:p w:rsidR="000E15E7" w:rsidRDefault="000E15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92">
          <w:rPr>
            <w:noProof/>
          </w:rPr>
          <w:t>2</w:t>
        </w:r>
        <w:r>
          <w:fldChar w:fldCharType="end"/>
        </w:r>
      </w:p>
    </w:sdtContent>
  </w:sdt>
  <w:p w:rsidR="000E15E7" w:rsidRDefault="000E15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DE" w:rsidRDefault="00AE3EDE">
      <w:pPr>
        <w:spacing w:after="0" w:line="240" w:lineRule="auto"/>
      </w:pPr>
      <w:r>
        <w:separator/>
      </w:r>
    </w:p>
  </w:footnote>
  <w:footnote w:type="continuationSeparator" w:id="0">
    <w:p w:rsidR="00AE3EDE" w:rsidRDefault="00AE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1705"/>
    <w:multiLevelType w:val="hybridMultilevel"/>
    <w:tmpl w:val="B10E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55432"/>
    <w:multiLevelType w:val="hybridMultilevel"/>
    <w:tmpl w:val="8E804C64"/>
    <w:lvl w:ilvl="0" w:tplc="C868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36CBA"/>
    <w:multiLevelType w:val="hybridMultilevel"/>
    <w:tmpl w:val="D66CAE00"/>
    <w:lvl w:ilvl="0" w:tplc="B4744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7805"/>
    <w:multiLevelType w:val="hybridMultilevel"/>
    <w:tmpl w:val="6E94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C0820"/>
    <w:multiLevelType w:val="hybridMultilevel"/>
    <w:tmpl w:val="B1F46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B6601"/>
    <w:multiLevelType w:val="hybridMultilevel"/>
    <w:tmpl w:val="36FE3F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AF72197"/>
    <w:multiLevelType w:val="hybridMultilevel"/>
    <w:tmpl w:val="CE94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93783C"/>
    <w:multiLevelType w:val="hybridMultilevel"/>
    <w:tmpl w:val="EAD475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510C68"/>
    <w:multiLevelType w:val="hybridMultilevel"/>
    <w:tmpl w:val="3D90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C06AD"/>
    <w:multiLevelType w:val="hybridMultilevel"/>
    <w:tmpl w:val="A48E7C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1BB8"/>
    <w:multiLevelType w:val="hybridMultilevel"/>
    <w:tmpl w:val="1FA4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F549B"/>
    <w:multiLevelType w:val="hybridMultilevel"/>
    <w:tmpl w:val="73DE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E931D7"/>
    <w:multiLevelType w:val="hybridMultilevel"/>
    <w:tmpl w:val="0D2EFC64"/>
    <w:lvl w:ilvl="0" w:tplc="64D6CF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CCE3779"/>
    <w:multiLevelType w:val="hybridMultilevel"/>
    <w:tmpl w:val="5F76947A"/>
    <w:lvl w:ilvl="0" w:tplc="658C3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04FB"/>
    <w:multiLevelType w:val="hybridMultilevel"/>
    <w:tmpl w:val="2FF06122"/>
    <w:lvl w:ilvl="0" w:tplc="D1C06A8E">
      <w:start w:val="3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6110DFD"/>
    <w:multiLevelType w:val="hybridMultilevel"/>
    <w:tmpl w:val="AE323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D626C2"/>
    <w:multiLevelType w:val="hybridMultilevel"/>
    <w:tmpl w:val="D12AED08"/>
    <w:lvl w:ilvl="0" w:tplc="87DA273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0FB53F0"/>
    <w:multiLevelType w:val="hybridMultilevel"/>
    <w:tmpl w:val="B170955C"/>
    <w:lvl w:ilvl="0" w:tplc="C868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682"/>
    <w:multiLevelType w:val="hybridMultilevel"/>
    <w:tmpl w:val="57E8F3E4"/>
    <w:lvl w:ilvl="0" w:tplc="64D6CFF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D6138E"/>
    <w:multiLevelType w:val="hybridMultilevel"/>
    <w:tmpl w:val="5C22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E1882"/>
    <w:multiLevelType w:val="hybridMultilevel"/>
    <w:tmpl w:val="F0048B98"/>
    <w:lvl w:ilvl="0" w:tplc="C868FB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8D62677"/>
    <w:multiLevelType w:val="hybridMultilevel"/>
    <w:tmpl w:val="259E88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7D2665"/>
    <w:multiLevelType w:val="hybridMultilevel"/>
    <w:tmpl w:val="4E7A187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E0D"/>
    <w:multiLevelType w:val="hybridMultilevel"/>
    <w:tmpl w:val="2308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19"/>
  </w:num>
  <w:num w:numId="8">
    <w:abstractNumId w:val="23"/>
  </w:num>
  <w:num w:numId="9">
    <w:abstractNumId w:val="6"/>
  </w:num>
  <w:num w:numId="10">
    <w:abstractNumId w:val="15"/>
  </w:num>
  <w:num w:numId="11">
    <w:abstractNumId w:val="20"/>
  </w:num>
  <w:num w:numId="12">
    <w:abstractNumId w:val="1"/>
  </w:num>
  <w:num w:numId="13">
    <w:abstractNumId w:val="2"/>
  </w:num>
  <w:num w:numId="14">
    <w:abstractNumId w:val="17"/>
  </w:num>
  <w:num w:numId="15">
    <w:abstractNumId w:val="22"/>
  </w:num>
  <w:num w:numId="16">
    <w:abstractNumId w:val="14"/>
  </w:num>
  <w:num w:numId="17">
    <w:abstractNumId w:val="8"/>
  </w:num>
  <w:num w:numId="18">
    <w:abstractNumId w:val="12"/>
  </w:num>
  <w:num w:numId="19">
    <w:abstractNumId w:val="18"/>
  </w:num>
  <w:num w:numId="20">
    <w:abstractNumId w:val="21"/>
  </w:num>
  <w:num w:numId="21">
    <w:abstractNumId w:val="4"/>
  </w:num>
  <w:num w:numId="22">
    <w:abstractNumId w:val="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F"/>
    <w:rsid w:val="00001CE6"/>
    <w:rsid w:val="00002668"/>
    <w:rsid w:val="00003578"/>
    <w:rsid w:val="00004AEE"/>
    <w:rsid w:val="00005F19"/>
    <w:rsid w:val="00006F90"/>
    <w:rsid w:val="000119D9"/>
    <w:rsid w:val="00013A8F"/>
    <w:rsid w:val="00014B20"/>
    <w:rsid w:val="0002021F"/>
    <w:rsid w:val="00020B84"/>
    <w:rsid w:val="000213F7"/>
    <w:rsid w:val="00023D88"/>
    <w:rsid w:val="00023F70"/>
    <w:rsid w:val="000309BA"/>
    <w:rsid w:val="00032054"/>
    <w:rsid w:val="00032241"/>
    <w:rsid w:val="000323AA"/>
    <w:rsid w:val="000330D9"/>
    <w:rsid w:val="00034C85"/>
    <w:rsid w:val="0003559F"/>
    <w:rsid w:val="0003576E"/>
    <w:rsid w:val="0004076D"/>
    <w:rsid w:val="000428E5"/>
    <w:rsid w:val="00043219"/>
    <w:rsid w:val="00047E84"/>
    <w:rsid w:val="00052735"/>
    <w:rsid w:val="000529BB"/>
    <w:rsid w:val="00053402"/>
    <w:rsid w:val="00055BF7"/>
    <w:rsid w:val="0005622A"/>
    <w:rsid w:val="00057E95"/>
    <w:rsid w:val="00060080"/>
    <w:rsid w:val="00063300"/>
    <w:rsid w:val="000660C6"/>
    <w:rsid w:val="000675CC"/>
    <w:rsid w:val="00070E8B"/>
    <w:rsid w:val="0007166B"/>
    <w:rsid w:val="00071A7E"/>
    <w:rsid w:val="00072A54"/>
    <w:rsid w:val="00072AF7"/>
    <w:rsid w:val="000761F6"/>
    <w:rsid w:val="0007730B"/>
    <w:rsid w:val="0007736C"/>
    <w:rsid w:val="000779FC"/>
    <w:rsid w:val="00077CEE"/>
    <w:rsid w:val="0008013B"/>
    <w:rsid w:val="0008117B"/>
    <w:rsid w:val="00081958"/>
    <w:rsid w:val="0008656B"/>
    <w:rsid w:val="00087B29"/>
    <w:rsid w:val="00092A52"/>
    <w:rsid w:val="00092A6C"/>
    <w:rsid w:val="00094125"/>
    <w:rsid w:val="000950DF"/>
    <w:rsid w:val="000A13DC"/>
    <w:rsid w:val="000A1A84"/>
    <w:rsid w:val="000A1AA7"/>
    <w:rsid w:val="000A3142"/>
    <w:rsid w:val="000A526B"/>
    <w:rsid w:val="000A70BF"/>
    <w:rsid w:val="000B3ABA"/>
    <w:rsid w:val="000C16FB"/>
    <w:rsid w:val="000C34BE"/>
    <w:rsid w:val="000C3BF9"/>
    <w:rsid w:val="000C4188"/>
    <w:rsid w:val="000C5450"/>
    <w:rsid w:val="000C620E"/>
    <w:rsid w:val="000D2ACB"/>
    <w:rsid w:val="000D3033"/>
    <w:rsid w:val="000D34EA"/>
    <w:rsid w:val="000D3797"/>
    <w:rsid w:val="000D50CC"/>
    <w:rsid w:val="000D7FAE"/>
    <w:rsid w:val="000E04C9"/>
    <w:rsid w:val="000E1497"/>
    <w:rsid w:val="000E15E7"/>
    <w:rsid w:val="000E3686"/>
    <w:rsid w:val="000E434C"/>
    <w:rsid w:val="000E518D"/>
    <w:rsid w:val="000F09AE"/>
    <w:rsid w:val="000F0EF2"/>
    <w:rsid w:val="000F643D"/>
    <w:rsid w:val="000F6DAD"/>
    <w:rsid w:val="0010051A"/>
    <w:rsid w:val="00102652"/>
    <w:rsid w:val="0010266C"/>
    <w:rsid w:val="0010370F"/>
    <w:rsid w:val="00103EBC"/>
    <w:rsid w:val="00104A5A"/>
    <w:rsid w:val="00104E2C"/>
    <w:rsid w:val="001050DF"/>
    <w:rsid w:val="001119E4"/>
    <w:rsid w:val="001142AF"/>
    <w:rsid w:val="00115E86"/>
    <w:rsid w:val="00116D1E"/>
    <w:rsid w:val="00117A41"/>
    <w:rsid w:val="00122D6D"/>
    <w:rsid w:val="001251C4"/>
    <w:rsid w:val="0012587B"/>
    <w:rsid w:val="00127585"/>
    <w:rsid w:val="00130D82"/>
    <w:rsid w:val="00130E30"/>
    <w:rsid w:val="00131A99"/>
    <w:rsid w:val="00132509"/>
    <w:rsid w:val="001350E5"/>
    <w:rsid w:val="00142911"/>
    <w:rsid w:val="00145979"/>
    <w:rsid w:val="00150AB4"/>
    <w:rsid w:val="00153B84"/>
    <w:rsid w:val="00153C4C"/>
    <w:rsid w:val="001565CC"/>
    <w:rsid w:val="00157D32"/>
    <w:rsid w:val="00157F99"/>
    <w:rsid w:val="00162B3F"/>
    <w:rsid w:val="0016385E"/>
    <w:rsid w:val="0016633F"/>
    <w:rsid w:val="001701B8"/>
    <w:rsid w:val="001706F0"/>
    <w:rsid w:val="00173238"/>
    <w:rsid w:val="00174FD7"/>
    <w:rsid w:val="001757B0"/>
    <w:rsid w:val="00180681"/>
    <w:rsid w:val="00184019"/>
    <w:rsid w:val="0018473D"/>
    <w:rsid w:val="001852D0"/>
    <w:rsid w:val="001872C8"/>
    <w:rsid w:val="00193C11"/>
    <w:rsid w:val="00193EB0"/>
    <w:rsid w:val="00194113"/>
    <w:rsid w:val="00194DDB"/>
    <w:rsid w:val="001A0528"/>
    <w:rsid w:val="001A1F5B"/>
    <w:rsid w:val="001A46E2"/>
    <w:rsid w:val="001A656E"/>
    <w:rsid w:val="001A7DEB"/>
    <w:rsid w:val="001B0618"/>
    <w:rsid w:val="001B3DA6"/>
    <w:rsid w:val="001B4503"/>
    <w:rsid w:val="001B4A6C"/>
    <w:rsid w:val="001B5497"/>
    <w:rsid w:val="001C15E8"/>
    <w:rsid w:val="001C2D65"/>
    <w:rsid w:val="001C5DF0"/>
    <w:rsid w:val="001C6FE6"/>
    <w:rsid w:val="001C71F7"/>
    <w:rsid w:val="001D0B87"/>
    <w:rsid w:val="001D1F22"/>
    <w:rsid w:val="001D26F3"/>
    <w:rsid w:val="001D46A8"/>
    <w:rsid w:val="001D5196"/>
    <w:rsid w:val="001D5785"/>
    <w:rsid w:val="001D5E32"/>
    <w:rsid w:val="001D6F55"/>
    <w:rsid w:val="001E0923"/>
    <w:rsid w:val="001E3392"/>
    <w:rsid w:val="001E52AB"/>
    <w:rsid w:val="001E67C6"/>
    <w:rsid w:val="001E7846"/>
    <w:rsid w:val="001E7CDB"/>
    <w:rsid w:val="001F1324"/>
    <w:rsid w:val="001F13CA"/>
    <w:rsid w:val="001F7E65"/>
    <w:rsid w:val="00200B13"/>
    <w:rsid w:val="002043CB"/>
    <w:rsid w:val="002046A3"/>
    <w:rsid w:val="00204E17"/>
    <w:rsid w:val="002063E9"/>
    <w:rsid w:val="00206929"/>
    <w:rsid w:val="00207115"/>
    <w:rsid w:val="0020725A"/>
    <w:rsid w:val="002073BA"/>
    <w:rsid w:val="0021108C"/>
    <w:rsid w:val="002115F6"/>
    <w:rsid w:val="002117D4"/>
    <w:rsid w:val="00211AE8"/>
    <w:rsid w:val="00212ECA"/>
    <w:rsid w:val="002133E3"/>
    <w:rsid w:val="00215461"/>
    <w:rsid w:val="0022030F"/>
    <w:rsid w:val="002261F9"/>
    <w:rsid w:val="00227209"/>
    <w:rsid w:val="00227416"/>
    <w:rsid w:val="00227AB6"/>
    <w:rsid w:val="00227BB9"/>
    <w:rsid w:val="0023016E"/>
    <w:rsid w:val="00230765"/>
    <w:rsid w:val="00231862"/>
    <w:rsid w:val="0023197C"/>
    <w:rsid w:val="00233D03"/>
    <w:rsid w:val="00243132"/>
    <w:rsid w:val="00244142"/>
    <w:rsid w:val="00244707"/>
    <w:rsid w:val="00246CE1"/>
    <w:rsid w:val="002474B6"/>
    <w:rsid w:val="00247C6B"/>
    <w:rsid w:val="00250099"/>
    <w:rsid w:val="00250774"/>
    <w:rsid w:val="002510FB"/>
    <w:rsid w:val="00253E72"/>
    <w:rsid w:val="0025484C"/>
    <w:rsid w:val="0025688D"/>
    <w:rsid w:val="00257D07"/>
    <w:rsid w:val="002621DE"/>
    <w:rsid w:val="00265F8C"/>
    <w:rsid w:val="00266906"/>
    <w:rsid w:val="00270936"/>
    <w:rsid w:val="0027277A"/>
    <w:rsid w:val="002747AF"/>
    <w:rsid w:val="00275160"/>
    <w:rsid w:val="00276CAC"/>
    <w:rsid w:val="002809AA"/>
    <w:rsid w:val="002838D8"/>
    <w:rsid w:val="00285A43"/>
    <w:rsid w:val="00287674"/>
    <w:rsid w:val="002947CE"/>
    <w:rsid w:val="00295DB8"/>
    <w:rsid w:val="002968DD"/>
    <w:rsid w:val="002A171E"/>
    <w:rsid w:val="002A1733"/>
    <w:rsid w:val="002A27FB"/>
    <w:rsid w:val="002A35E5"/>
    <w:rsid w:val="002A4084"/>
    <w:rsid w:val="002A5736"/>
    <w:rsid w:val="002A7455"/>
    <w:rsid w:val="002A7DC2"/>
    <w:rsid w:val="002B0840"/>
    <w:rsid w:val="002B420C"/>
    <w:rsid w:val="002C0305"/>
    <w:rsid w:val="002C169D"/>
    <w:rsid w:val="002C2B32"/>
    <w:rsid w:val="002C2C74"/>
    <w:rsid w:val="002C47C7"/>
    <w:rsid w:val="002C652B"/>
    <w:rsid w:val="002D0679"/>
    <w:rsid w:val="002D1528"/>
    <w:rsid w:val="002D2179"/>
    <w:rsid w:val="002D47C2"/>
    <w:rsid w:val="002E17E4"/>
    <w:rsid w:val="002E1D91"/>
    <w:rsid w:val="002E4C02"/>
    <w:rsid w:val="002E59E0"/>
    <w:rsid w:val="002E77B7"/>
    <w:rsid w:val="002F0E6F"/>
    <w:rsid w:val="002F533A"/>
    <w:rsid w:val="002F5A8C"/>
    <w:rsid w:val="002F5E7D"/>
    <w:rsid w:val="00300E9F"/>
    <w:rsid w:val="0030146E"/>
    <w:rsid w:val="00301EBA"/>
    <w:rsid w:val="00302271"/>
    <w:rsid w:val="003030DD"/>
    <w:rsid w:val="00304540"/>
    <w:rsid w:val="00304F32"/>
    <w:rsid w:val="00305DDB"/>
    <w:rsid w:val="003105B5"/>
    <w:rsid w:val="00314863"/>
    <w:rsid w:val="00314BB9"/>
    <w:rsid w:val="003151AB"/>
    <w:rsid w:val="00316031"/>
    <w:rsid w:val="00316CCB"/>
    <w:rsid w:val="00322C28"/>
    <w:rsid w:val="00324A07"/>
    <w:rsid w:val="00326279"/>
    <w:rsid w:val="0033215E"/>
    <w:rsid w:val="003322F1"/>
    <w:rsid w:val="0033314C"/>
    <w:rsid w:val="0033494C"/>
    <w:rsid w:val="00336387"/>
    <w:rsid w:val="00340B82"/>
    <w:rsid w:val="003410BD"/>
    <w:rsid w:val="003416CF"/>
    <w:rsid w:val="00341870"/>
    <w:rsid w:val="00342489"/>
    <w:rsid w:val="00342917"/>
    <w:rsid w:val="00342DBD"/>
    <w:rsid w:val="00344C0E"/>
    <w:rsid w:val="0034522C"/>
    <w:rsid w:val="00347236"/>
    <w:rsid w:val="00350076"/>
    <w:rsid w:val="00350706"/>
    <w:rsid w:val="0035124C"/>
    <w:rsid w:val="00351827"/>
    <w:rsid w:val="00352808"/>
    <w:rsid w:val="0035544C"/>
    <w:rsid w:val="00355DAE"/>
    <w:rsid w:val="00356225"/>
    <w:rsid w:val="00356606"/>
    <w:rsid w:val="003609E0"/>
    <w:rsid w:val="00360ACB"/>
    <w:rsid w:val="00361604"/>
    <w:rsid w:val="00361A7D"/>
    <w:rsid w:val="003655A6"/>
    <w:rsid w:val="00366F49"/>
    <w:rsid w:val="0036731A"/>
    <w:rsid w:val="00367807"/>
    <w:rsid w:val="00371243"/>
    <w:rsid w:val="003724B7"/>
    <w:rsid w:val="00373027"/>
    <w:rsid w:val="0037633F"/>
    <w:rsid w:val="0037744A"/>
    <w:rsid w:val="00380EA2"/>
    <w:rsid w:val="0038664C"/>
    <w:rsid w:val="0038709F"/>
    <w:rsid w:val="0038796A"/>
    <w:rsid w:val="00387E93"/>
    <w:rsid w:val="00391933"/>
    <w:rsid w:val="0039236B"/>
    <w:rsid w:val="003929C6"/>
    <w:rsid w:val="00394B1F"/>
    <w:rsid w:val="0039525B"/>
    <w:rsid w:val="003A04A0"/>
    <w:rsid w:val="003A04E8"/>
    <w:rsid w:val="003B1208"/>
    <w:rsid w:val="003B47AC"/>
    <w:rsid w:val="003B563B"/>
    <w:rsid w:val="003B6190"/>
    <w:rsid w:val="003B6291"/>
    <w:rsid w:val="003C16D2"/>
    <w:rsid w:val="003C5717"/>
    <w:rsid w:val="003D2509"/>
    <w:rsid w:val="003D5658"/>
    <w:rsid w:val="003E1F6C"/>
    <w:rsid w:val="003E3283"/>
    <w:rsid w:val="003E43E8"/>
    <w:rsid w:val="003E56BA"/>
    <w:rsid w:val="003E6213"/>
    <w:rsid w:val="003E71B2"/>
    <w:rsid w:val="003F12D9"/>
    <w:rsid w:val="003F20AD"/>
    <w:rsid w:val="003F3FC8"/>
    <w:rsid w:val="003F765E"/>
    <w:rsid w:val="003F7DCB"/>
    <w:rsid w:val="0040035D"/>
    <w:rsid w:val="004010AF"/>
    <w:rsid w:val="004012F4"/>
    <w:rsid w:val="00401332"/>
    <w:rsid w:val="004017A8"/>
    <w:rsid w:val="004019BE"/>
    <w:rsid w:val="00402DE6"/>
    <w:rsid w:val="00403B9A"/>
    <w:rsid w:val="004075FB"/>
    <w:rsid w:val="00407AF1"/>
    <w:rsid w:val="004123F6"/>
    <w:rsid w:val="00412C65"/>
    <w:rsid w:val="004140E0"/>
    <w:rsid w:val="00415757"/>
    <w:rsid w:val="00420FEE"/>
    <w:rsid w:val="004215C6"/>
    <w:rsid w:val="00421A48"/>
    <w:rsid w:val="00421F0A"/>
    <w:rsid w:val="004227E3"/>
    <w:rsid w:val="004259FE"/>
    <w:rsid w:val="004263D6"/>
    <w:rsid w:val="004277C0"/>
    <w:rsid w:val="00430571"/>
    <w:rsid w:val="00432670"/>
    <w:rsid w:val="004335AF"/>
    <w:rsid w:val="00434265"/>
    <w:rsid w:val="00436AB1"/>
    <w:rsid w:val="00436FBF"/>
    <w:rsid w:val="00441030"/>
    <w:rsid w:val="00443348"/>
    <w:rsid w:val="00446323"/>
    <w:rsid w:val="0045676F"/>
    <w:rsid w:val="00456E25"/>
    <w:rsid w:val="0046077F"/>
    <w:rsid w:val="00460B18"/>
    <w:rsid w:val="0046139D"/>
    <w:rsid w:val="00464AA4"/>
    <w:rsid w:val="004659A2"/>
    <w:rsid w:val="00465EA8"/>
    <w:rsid w:val="0046728C"/>
    <w:rsid w:val="004679FE"/>
    <w:rsid w:val="0047168B"/>
    <w:rsid w:val="0047496A"/>
    <w:rsid w:val="00475140"/>
    <w:rsid w:val="0047583C"/>
    <w:rsid w:val="00475D9D"/>
    <w:rsid w:val="00476EB0"/>
    <w:rsid w:val="00477F4E"/>
    <w:rsid w:val="004814BC"/>
    <w:rsid w:val="00483255"/>
    <w:rsid w:val="00483830"/>
    <w:rsid w:val="004879BB"/>
    <w:rsid w:val="00491EFA"/>
    <w:rsid w:val="00492433"/>
    <w:rsid w:val="00493875"/>
    <w:rsid w:val="004946CC"/>
    <w:rsid w:val="0049497B"/>
    <w:rsid w:val="004951E3"/>
    <w:rsid w:val="00497E6A"/>
    <w:rsid w:val="004A2402"/>
    <w:rsid w:val="004A2797"/>
    <w:rsid w:val="004A716A"/>
    <w:rsid w:val="004A7F76"/>
    <w:rsid w:val="004B078F"/>
    <w:rsid w:val="004B1922"/>
    <w:rsid w:val="004B1EE1"/>
    <w:rsid w:val="004B1FF1"/>
    <w:rsid w:val="004B4637"/>
    <w:rsid w:val="004B49B5"/>
    <w:rsid w:val="004B5116"/>
    <w:rsid w:val="004B5354"/>
    <w:rsid w:val="004B59F7"/>
    <w:rsid w:val="004B6111"/>
    <w:rsid w:val="004B7C2A"/>
    <w:rsid w:val="004C19F6"/>
    <w:rsid w:val="004C2E76"/>
    <w:rsid w:val="004C679F"/>
    <w:rsid w:val="004C68F8"/>
    <w:rsid w:val="004C6979"/>
    <w:rsid w:val="004D200E"/>
    <w:rsid w:val="004D40C5"/>
    <w:rsid w:val="004D552E"/>
    <w:rsid w:val="004D7514"/>
    <w:rsid w:val="004E21A9"/>
    <w:rsid w:val="004E2B16"/>
    <w:rsid w:val="004E3A5A"/>
    <w:rsid w:val="004E7760"/>
    <w:rsid w:val="004F00D4"/>
    <w:rsid w:val="004F0170"/>
    <w:rsid w:val="004F01BF"/>
    <w:rsid w:val="004F0C8F"/>
    <w:rsid w:val="004F1D93"/>
    <w:rsid w:val="004F640D"/>
    <w:rsid w:val="00500069"/>
    <w:rsid w:val="00500B29"/>
    <w:rsid w:val="005016A6"/>
    <w:rsid w:val="00503D07"/>
    <w:rsid w:val="005078D4"/>
    <w:rsid w:val="00507B41"/>
    <w:rsid w:val="005100F0"/>
    <w:rsid w:val="00510134"/>
    <w:rsid w:val="00510388"/>
    <w:rsid w:val="0051244E"/>
    <w:rsid w:val="00512509"/>
    <w:rsid w:val="005137E3"/>
    <w:rsid w:val="0051535A"/>
    <w:rsid w:val="00515ADA"/>
    <w:rsid w:val="00516261"/>
    <w:rsid w:val="005200D8"/>
    <w:rsid w:val="00520938"/>
    <w:rsid w:val="00520EF3"/>
    <w:rsid w:val="005220C5"/>
    <w:rsid w:val="005236F1"/>
    <w:rsid w:val="00525274"/>
    <w:rsid w:val="00525CA6"/>
    <w:rsid w:val="00526C18"/>
    <w:rsid w:val="00530EB6"/>
    <w:rsid w:val="005317A6"/>
    <w:rsid w:val="0053365A"/>
    <w:rsid w:val="00533873"/>
    <w:rsid w:val="00533BEC"/>
    <w:rsid w:val="00535BCB"/>
    <w:rsid w:val="00537D61"/>
    <w:rsid w:val="00537E69"/>
    <w:rsid w:val="00540803"/>
    <w:rsid w:val="00542C4A"/>
    <w:rsid w:val="00544588"/>
    <w:rsid w:val="00545D7A"/>
    <w:rsid w:val="00550DC0"/>
    <w:rsid w:val="005535CB"/>
    <w:rsid w:val="00554C4F"/>
    <w:rsid w:val="00554CE0"/>
    <w:rsid w:val="005552D9"/>
    <w:rsid w:val="00557BAB"/>
    <w:rsid w:val="005608A1"/>
    <w:rsid w:val="00560D31"/>
    <w:rsid w:val="00561C48"/>
    <w:rsid w:val="00565E2C"/>
    <w:rsid w:val="0056677F"/>
    <w:rsid w:val="00567B44"/>
    <w:rsid w:val="00570EA6"/>
    <w:rsid w:val="0057778B"/>
    <w:rsid w:val="005779B5"/>
    <w:rsid w:val="00581557"/>
    <w:rsid w:val="005819F7"/>
    <w:rsid w:val="005823CD"/>
    <w:rsid w:val="00584B09"/>
    <w:rsid w:val="00590668"/>
    <w:rsid w:val="00595013"/>
    <w:rsid w:val="00596540"/>
    <w:rsid w:val="005A204E"/>
    <w:rsid w:val="005A2E22"/>
    <w:rsid w:val="005A63E5"/>
    <w:rsid w:val="005B0096"/>
    <w:rsid w:val="005B4C0F"/>
    <w:rsid w:val="005B5161"/>
    <w:rsid w:val="005B6F13"/>
    <w:rsid w:val="005C092D"/>
    <w:rsid w:val="005C6152"/>
    <w:rsid w:val="005C6949"/>
    <w:rsid w:val="005C6ADA"/>
    <w:rsid w:val="005C710E"/>
    <w:rsid w:val="005C7596"/>
    <w:rsid w:val="005D1594"/>
    <w:rsid w:val="005D1EA8"/>
    <w:rsid w:val="005D27E4"/>
    <w:rsid w:val="005D4B6E"/>
    <w:rsid w:val="005D4F90"/>
    <w:rsid w:val="005D51FF"/>
    <w:rsid w:val="005D6B86"/>
    <w:rsid w:val="005E21DA"/>
    <w:rsid w:val="005E3C4C"/>
    <w:rsid w:val="005E3F46"/>
    <w:rsid w:val="005E4748"/>
    <w:rsid w:val="005E7B51"/>
    <w:rsid w:val="005F3321"/>
    <w:rsid w:val="00601640"/>
    <w:rsid w:val="0060313C"/>
    <w:rsid w:val="00603478"/>
    <w:rsid w:val="0060581E"/>
    <w:rsid w:val="00607129"/>
    <w:rsid w:val="00607558"/>
    <w:rsid w:val="006101E9"/>
    <w:rsid w:val="00611D38"/>
    <w:rsid w:val="006138C1"/>
    <w:rsid w:val="0061459F"/>
    <w:rsid w:val="00615F6C"/>
    <w:rsid w:val="006162A4"/>
    <w:rsid w:val="006215D2"/>
    <w:rsid w:val="006218CB"/>
    <w:rsid w:val="00621909"/>
    <w:rsid w:val="00622F65"/>
    <w:rsid w:val="00627927"/>
    <w:rsid w:val="00627CA6"/>
    <w:rsid w:val="006312AA"/>
    <w:rsid w:val="0063542C"/>
    <w:rsid w:val="00637321"/>
    <w:rsid w:val="00637602"/>
    <w:rsid w:val="0063784F"/>
    <w:rsid w:val="00637BB0"/>
    <w:rsid w:val="00637BF6"/>
    <w:rsid w:val="00640690"/>
    <w:rsid w:val="006408FD"/>
    <w:rsid w:val="00640976"/>
    <w:rsid w:val="006425CA"/>
    <w:rsid w:val="00642BDB"/>
    <w:rsid w:val="00652CFF"/>
    <w:rsid w:val="00654852"/>
    <w:rsid w:val="00657A8A"/>
    <w:rsid w:val="006606DC"/>
    <w:rsid w:val="00661208"/>
    <w:rsid w:val="0066361D"/>
    <w:rsid w:val="00663B07"/>
    <w:rsid w:val="00663D33"/>
    <w:rsid w:val="0066513B"/>
    <w:rsid w:val="00666E89"/>
    <w:rsid w:val="00667206"/>
    <w:rsid w:val="00667919"/>
    <w:rsid w:val="00671D74"/>
    <w:rsid w:val="00674BAE"/>
    <w:rsid w:val="0067552E"/>
    <w:rsid w:val="00675818"/>
    <w:rsid w:val="00676D13"/>
    <w:rsid w:val="00681783"/>
    <w:rsid w:val="0068371C"/>
    <w:rsid w:val="006926BB"/>
    <w:rsid w:val="00694E78"/>
    <w:rsid w:val="00694FEC"/>
    <w:rsid w:val="0069591D"/>
    <w:rsid w:val="006A0020"/>
    <w:rsid w:val="006A5EED"/>
    <w:rsid w:val="006A74DB"/>
    <w:rsid w:val="006B1CFE"/>
    <w:rsid w:val="006B26EF"/>
    <w:rsid w:val="006B486F"/>
    <w:rsid w:val="006C326F"/>
    <w:rsid w:val="006C4060"/>
    <w:rsid w:val="006C5447"/>
    <w:rsid w:val="006C5EBB"/>
    <w:rsid w:val="006C63EA"/>
    <w:rsid w:val="006C7A49"/>
    <w:rsid w:val="006D4D8D"/>
    <w:rsid w:val="006D6AD2"/>
    <w:rsid w:val="006D6BEA"/>
    <w:rsid w:val="006D7845"/>
    <w:rsid w:val="006E128B"/>
    <w:rsid w:val="006E30B3"/>
    <w:rsid w:val="006E3580"/>
    <w:rsid w:val="006E5EC3"/>
    <w:rsid w:val="006E6568"/>
    <w:rsid w:val="006E6A5A"/>
    <w:rsid w:val="006F07B0"/>
    <w:rsid w:val="006F21A5"/>
    <w:rsid w:val="006F4349"/>
    <w:rsid w:val="006F5607"/>
    <w:rsid w:val="006F6CAA"/>
    <w:rsid w:val="007001AD"/>
    <w:rsid w:val="00700626"/>
    <w:rsid w:val="00701936"/>
    <w:rsid w:val="00701AA1"/>
    <w:rsid w:val="00702C8B"/>
    <w:rsid w:val="007044B5"/>
    <w:rsid w:val="007113AD"/>
    <w:rsid w:val="00712B85"/>
    <w:rsid w:val="007136D5"/>
    <w:rsid w:val="00716B78"/>
    <w:rsid w:val="00721939"/>
    <w:rsid w:val="00722D48"/>
    <w:rsid w:val="00725855"/>
    <w:rsid w:val="00730BAC"/>
    <w:rsid w:val="00731845"/>
    <w:rsid w:val="00731CBC"/>
    <w:rsid w:val="00732488"/>
    <w:rsid w:val="00733692"/>
    <w:rsid w:val="00735DB0"/>
    <w:rsid w:val="007361E6"/>
    <w:rsid w:val="00736973"/>
    <w:rsid w:val="007375AF"/>
    <w:rsid w:val="00740626"/>
    <w:rsid w:val="00743E60"/>
    <w:rsid w:val="00745E16"/>
    <w:rsid w:val="00747585"/>
    <w:rsid w:val="007503D9"/>
    <w:rsid w:val="007519E1"/>
    <w:rsid w:val="0075295E"/>
    <w:rsid w:val="00755A7B"/>
    <w:rsid w:val="00757B98"/>
    <w:rsid w:val="00760C93"/>
    <w:rsid w:val="00761400"/>
    <w:rsid w:val="00763569"/>
    <w:rsid w:val="00763C63"/>
    <w:rsid w:val="007640F8"/>
    <w:rsid w:val="007653BC"/>
    <w:rsid w:val="007703DB"/>
    <w:rsid w:val="00772178"/>
    <w:rsid w:val="00773A4B"/>
    <w:rsid w:val="00773ED6"/>
    <w:rsid w:val="0077485D"/>
    <w:rsid w:val="00777AF0"/>
    <w:rsid w:val="007802E2"/>
    <w:rsid w:val="00780870"/>
    <w:rsid w:val="00780C18"/>
    <w:rsid w:val="00781F76"/>
    <w:rsid w:val="00782904"/>
    <w:rsid w:val="0078337C"/>
    <w:rsid w:val="00784E58"/>
    <w:rsid w:val="0078669E"/>
    <w:rsid w:val="00787306"/>
    <w:rsid w:val="0078744E"/>
    <w:rsid w:val="00792AF3"/>
    <w:rsid w:val="0079382B"/>
    <w:rsid w:val="00795E7D"/>
    <w:rsid w:val="0079682C"/>
    <w:rsid w:val="0079684D"/>
    <w:rsid w:val="00797313"/>
    <w:rsid w:val="007A12FD"/>
    <w:rsid w:val="007A4724"/>
    <w:rsid w:val="007A4B46"/>
    <w:rsid w:val="007A4F80"/>
    <w:rsid w:val="007A633B"/>
    <w:rsid w:val="007A6901"/>
    <w:rsid w:val="007B2F44"/>
    <w:rsid w:val="007B733A"/>
    <w:rsid w:val="007C477B"/>
    <w:rsid w:val="007C77FD"/>
    <w:rsid w:val="007D0418"/>
    <w:rsid w:val="007D0607"/>
    <w:rsid w:val="007D2312"/>
    <w:rsid w:val="007D3278"/>
    <w:rsid w:val="007D4A46"/>
    <w:rsid w:val="007D4B43"/>
    <w:rsid w:val="007D79D8"/>
    <w:rsid w:val="007E3A3F"/>
    <w:rsid w:val="007E5F62"/>
    <w:rsid w:val="007F2D41"/>
    <w:rsid w:val="00801885"/>
    <w:rsid w:val="00803FC6"/>
    <w:rsid w:val="008066CF"/>
    <w:rsid w:val="00806715"/>
    <w:rsid w:val="00806F0E"/>
    <w:rsid w:val="008135FB"/>
    <w:rsid w:val="008140F8"/>
    <w:rsid w:val="008143B4"/>
    <w:rsid w:val="0081516A"/>
    <w:rsid w:val="008175BB"/>
    <w:rsid w:val="00817D80"/>
    <w:rsid w:val="00823EC7"/>
    <w:rsid w:val="00825EDC"/>
    <w:rsid w:val="0082668C"/>
    <w:rsid w:val="008312C1"/>
    <w:rsid w:val="00834A8C"/>
    <w:rsid w:val="008356F6"/>
    <w:rsid w:val="00836395"/>
    <w:rsid w:val="00837B30"/>
    <w:rsid w:val="00844B4D"/>
    <w:rsid w:val="00844D39"/>
    <w:rsid w:val="00846988"/>
    <w:rsid w:val="00850AB0"/>
    <w:rsid w:val="00850D65"/>
    <w:rsid w:val="0085129E"/>
    <w:rsid w:val="00852D76"/>
    <w:rsid w:val="00854A93"/>
    <w:rsid w:val="00855525"/>
    <w:rsid w:val="0085613D"/>
    <w:rsid w:val="00856721"/>
    <w:rsid w:val="0085717B"/>
    <w:rsid w:val="00860919"/>
    <w:rsid w:val="00862564"/>
    <w:rsid w:val="0086576E"/>
    <w:rsid w:val="00865BD9"/>
    <w:rsid w:val="00867E13"/>
    <w:rsid w:val="00872419"/>
    <w:rsid w:val="00872AE4"/>
    <w:rsid w:val="00873753"/>
    <w:rsid w:val="008739B2"/>
    <w:rsid w:val="00875201"/>
    <w:rsid w:val="008769BE"/>
    <w:rsid w:val="0088165B"/>
    <w:rsid w:val="008857A1"/>
    <w:rsid w:val="00885AF7"/>
    <w:rsid w:val="00891279"/>
    <w:rsid w:val="008963FA"/>
    <w:rsid w:val="008A7365"/>
    <w:rsid w:val="008B18CD"/>
    <w:rsid w:val="008B1C1D"/>
    <w:rsid w:val="008B48B6"/>
    <w:rsid w:val="008B491E"/>
    <w:rsid w:val="008B4BD4"/>
    <w:rsid w:val="008C051A"/>
    <w:rsid w:val="008C054A"/>
    <w:rsid w:val="008C6752"/>
    <w:rsid w:val="008D04AB"/>
    <w:rsid w:val="008D4D71"/>
    <w:rsid w:val="008D5570"/>
    <w:rsid w:val="008D64A2"/>
    <w:rsid w:val="008E00AA"/>
    <w:rsid w:val="008E07B2"/>
    <w:rsid w:val="008E089D"/>
    <w:rsid w:val="008E3000"/>
    <w:rsid w:val="008E3A14"/>
    <w:rsid w:val="008E536F"/>
    <w:rsid w:val="008E55EF"/>
    <w:rsid w:val="008E56A3"/>
    <w:rsid w:val="008E67B0"/>
    <w:rsid w:val="008E78ED"/>
    <w:rsid w:val="008F0552"/>
    <w:rsid w:val="008F0C56"/>
    <w:rsid w:val="008F27EE"/>
    <w:rsid w:val="008F33B8"/>
    <w:rsid w:val="008F4741"/>
    <w:rsid w:val="008F5381"/>
    <w:rsid w:val="008F5F9B"/>
    <w:rsid w:val="008F727E"/>
    <w:rsid w:val="009011AF"/>
    <w:rsid w:val="009024F9"/>
    <w:rsid w:val="009036CA"/>
    <w:rsid w:val="00903BB1"/>
    <w:rsid w:val="00904240"/>
    <w:rsid w:val="00910CD0"/>
    <w:rsid w:val="00915883"/>
    <w:rsid w:val="00916033"/>
    <w:rsid w:val="00916AAF"/>
    <w:rsid w:val="009230F5"/>
    <w:rsid w:val="00924777"/>
    <w:rsid w:val="0092586A"/>
    <w:rsid w:val="00925EFF"/>
    <w:rsid w:val="00927FBA"/>
    <w:rsid w:val="00930615"/>
    <w:rsid w:val="00931151"/>
    <w:rsid w:val="00932147"/>
    <w:rsid w:val="00937561"/>
    <w:rsid w:val="00940D12"/>
    <w:rsid w:val="00943056"/>
    <w:rsid w:val="0094457E"/>
    <w:rsid w:val="009456E9"/>
    <w:rsid w:val="00946222"/>
    <w:rsid w:val="00952A6A"/>
    <w:rsid w:val="00953263"/>
    <w:rsid w:val="0095414B"/>
    <w:rsid w:val="00956CB3"/>
    <w:rsid w:val="009571BF"/>
    <w:rsid w:val="009605DC"/>
    <w:rsid w:val="00962DB3"/>
    <w:rsid w:val="0096322C"/>
    <w:rsid w:val="00963BE6"/>
    <w:rsid w:val="009640EC"/>
    <w:rsid w:val="00965ED8"/>
    <w:rsid w:val="00966A40"/>
    <w:rsid w:val="00970871"/>
    <w:rsid w:val="0097130F"/>
    <w:rsid w:val="00974252"/>
    <w:rsid w:val="00975D26"/>
    <w:rsid w:val="0097603C"/>
    <w:rsid w:val="00976D30"/>
    <w:rsid w:val="00980073"/>
    <w:rsid w:val="0098036A"/>
    <w:rsid w:val="00980A90"/>
    <w:rsid w:val="009828E8"/>
    <w:rsid w:val="00982EF9"/>
    <w:rsid w:val="00986E76"/>
    <w:rsid w:val="009924B9"/>
    <w:rsid w:val="009925C0"/>
    <w:rsid w:val="0099489F"/>
    <w:rsid w:val="009A2F8D"/>
    <w:rsid w:val="009A5EA8"/>
    <w:rsid w:val="009A6250"/>
    <w:rsid w:val="009A6AC5"/>
    <w:rsid w:val="009A6B0A"/>
    <w:rsid w:val="009A7AC7"/>
    <w:rsid w:val="009B4040"/>
    <w:rsid w:val="009B5942"/>
    <w:rsid w:val="009B5E12"/>
    <w:rsid w:val="009B62B2"/>
    <w:rsid w:val="009C1397"/>
    <w:rsid w:val="009C22E8"/>
    <w:rsid w:val="009C5741"/>
    <w:rsid w:val="009C574E"/>
    <w:rsid w:val="009C7F70"/>
    <w:rsid w:val="009D0605"/>
    <w:rsid w:val="009D1D20"/>
    <w:rsid w:val="009E115E"/>
    <w:rsid w:val="009E2AB1"/>
    <w:rsid w:val="009E5112"/>
    <w:rsid w:val="009F0560"/>
    <w:rsid w:val="009F0579"/>
    <w:rsid w:val="009F11EE"/>
    <w:rsid w:val="009F50FC"/>
    <w:rsid w:val="009F7DB5"/>
    <w:rsid w:val="00A01568"/>
    <w:rsid w:val="00A0249B"/>
    <w:rsid w:val="00A07EBB"/>
    <w:rsid w:val="00A12295"/>
    <w:rsid w:val="00A135C1"/>
    <w:rsid w:val="00A13A11"/>
    <w:rsid w:val="00A16E2E"/>
    <w:rsid w:val="00A17567"/>
    <w:rsid w:val="00A207F2"/>
    <w:rsid w:val="00A2308F"/>
    <w:rsid w:val="00A25741"/>
    <w:rsid w:val="00A2618F"/>
    <w:rsid w:val="00A30CCB"/>
    <w:rsid w:val="00A352E7"/>
    <w:rsid w:val="00A36E9B"/>
    <w:rsid w:val="00A371A4"/>
    <w:rsid w:val="00A400DB"/>
    <w:rsid w:val="00A4091F"/>
    <w:rsid w:val="00A40A88"/>
    <w:rsid w:val="00A40B21"/>
    <w:rsid w:val="00A41438"/>
    <w:rsid w:val="00A41A64"/>
    <w:rsid w:val="00A45423"/>
    <w:rsid w:val="00A46986"/>
    <w:rsid w:val="00A474FF"/>
    <w:rsid w:val="00A4783F"/>
    <w:rsid w:val="00A51950"/>
    <w:rsid w:val="00A52F08"/>
    <w:rsid w:val="00A55391"/>
    <w:rsid w:val="00A6070D"/>
    <w:rsid w:val="00A60889"/>
    <w:rsid w:val="00A60B50"/>
    <w:rsid w:val="00A620B1"/>
    <w:rsid w:val="00A64929"/>
    <w:rsid w:val="00A6777B"/>
    <w:rsid w:val="00A72D65"/>
    <w:rsid w:val="00A745BF"/>
    <w:rsid w:val="00A75837"/>
    <w:rsid w:val="00A810F7"/>
    <w:rsid w:val="00A811F9"/>
    <w:rsid w:val="00A819C1"/>
    <w:rsid w:val="00A82607"/>
    <w:rsid w:val="00A82620"/>
    <w:rsid w:val="00A82720"/>
    <w:rsid w:val="00A8437E"/>
    <w:rsid w:val="00A85110"/>
    <w:rsid w:val="00A875A2"/>
    <w:rsid w:val="00A917DA"/>
    <w:rsid w:val="00A94256"/>
    <w:rsid w:val="00A970BE"/>
    <w:rsid w:val="00A97152"/>
    <w:rsid w:val="00AA0ACA"/>
    <w:rsid w:val="00AA3140"/>
    <w:rsid w:val="00AB277D"/>
    <w:rsid w:val="00AB44FA"/>
    <w:rsid w:val="00AB4DD4"/>
    <w:rsid w:val="00AB5D32"/>
    <w:rsid w:val="00AB6D15"/>
    <w:rsid w:val="00AB7E3A"/>
    <w:rsid w:val="00AC0DC8"/>
    <w:rsid w:val="00AC1AE9"/>
    <w:rsid w:val="00AC1BE0"/>
    <w:rsid w:val="00AC2FEA"/>
    <w:rsid w:val="00AD271B"/>
    <w:rsid w:val="00AD4D05"/>
    <w:rsid w:val="00AD5BEE"/>
    <w:rsid w:val="00AD6321"/>
    <w:rsid w:val="00AD66C4"/>
    <w:rsid w:val="00AD71A6"/>
    <w:rsid w:val="00AE049E"/>
    <w:rsid w:val="00AE09D3"/>
    <w:rsid w:val="00AE3EDE"/>
    <w:rsid w:val="00AE4F37"/>
    <w:rsid w:val="00AE50FC"/>
    <w:rsid w:val="00AE79B2"/>
    <w:rsid w:val="00AE7F0F"/>
    <w:rsid w:val="00AF26D6"/>
    <w:rsid w:val="00AF3A91"/>
    <w:rsid w:val="00AF3BB0"/>
    <w:rsid w:val="00AF527C"/>
    <w:rsid w:val="00AF6237"/>
    <w:rsid w:val="00AF6620"/>
    <w:rsid w:val="00B00B5B"/>
    <w:rsid w:val="00B0125A"/>
    <w:rsid w:val="00B0156F"/>
    <w:rsid w:val="00B0230C"/>
    <w:rsid w:val="00B02B98"/>
    <w:rsid w:val="00B05AAF"/>
    <w:rsid w:val="00B06B8C"/>
    <w:rsid w:val="00B076A3"/>
    <w:rsid w:val="00B1040B"/>
    <w:rsid w:val="00B10FAF"/>
    <w:rsid w:val="00B11998"/>
    <w:rsid w:val="00B12576"/>
    <w:rsid w:val="00B13597"/>
    <w:rsid w:val="00B139CF"/>
    <w:rsid w:val="00B13B55"/>
    <w:rsid w:val="00B14560"/>
    <w:rsid w:val="00B15C5F"/>
    <w:rsid w:val="00B16634"/>
    <w:rsid w:val="00B1727B"/>
    <w:rsid w:val="00B234C7"/>
    <w:rsid w:val="00B23E18"/>
    <w:rsid w:val="00B2401C"/>
    <w:rsid w:val="00B24E3C"/>
    <w:rsid w:val="00B2656F"/>
    <w:rsid w:val="00B2662B"/>
    <w:rsid w:val="00B276C1"/>
    <w:rsid w:val="00B27800"/>
    <w:rsid w:val="00B3039C"/>
    <w:rsid w:val="00B305C5"/>
    <w:rsid w:val="00B3086B"/>
    <w:rsid w:val="00B314A6"/>
    <w:rsid w:val="00B3256F"/>
    <w:rsid w:val="00B32620"/>
    <w:rsid w:val="00B32CF3"/>
    <w:rsid w:val="00B350A7"/>
    <w:rsid w:val="00B365E5"/>
    <w:rsid w:val="00B366C9"/>
    <w:rsid w:val="00B36884"/>
    <w:rsid w:val="00B36E5D"/>
    <w:rsid w:val="00B37ECB"/>
    <w:rsid w:val="00B4066F"/>
    <w:rsid w:val="00B40DFD"/>
    <w:rsid w:val="00B42A81"/>
    <w:rsid w:val="00B44109"/>
    <w:rsid w:val="00B447B4"/>
    <w:rsid w:val="00B44B3E"/>
    <w:rsid w:val="00B46026"/>
    <w:rsid w:val="00B46B3C"/>
    <w:rsid w:val="00B47812"/>
    <w:rsid w:val="00B50CC5"/>
    <w:rsid w:val="00B53DF3"/>
    <w:rsid w:val="00B54F6B"/>
    <w:rsid w:val="00B551FC"/>
    <w:rsid w:val="00B57E04"/>
    <w:rsid w:val="00B60A1D"/>
    <w:rsid w:val="00B6160C"/>
    <w:rsid w:val="00B61FBF"/>
    <w:rsid w:val="00B635D1"/>
    <w:rsid w:val="00B65564"/>
    <w:rsid w:val="00B66A4D"/>
    <w:rsid w:val="00B67C53"/>
    <w:rsid w:val="00B71B8B"/>
    <w:rsid w:val="00B72243"/>
    <w:rsid w:val="00B72CF8"/>
    <w:rsid w:val="00B737BE"/>
    <w:rsid w:val="00B76921"/>
    <w:rsid w:val="00B77F65"/>
    <w:rsid w:val="00B82385"/>
    <w:rsid w:val="00B844E4"/>
    <w:rsid w:val="00B8485D"/>
    <w:rsid w:val="00B86B97"/>
    <w:rsid w:val="00B93A1A"/>
    <w:rsid w:val="00B96BBB"/>
    <w:rsid w:val="00BA047F"/>
    <w:rsid w:val="00BA0A41"/>
    <w:rsid w:val="00BA0F1D"/>
    <w:rsid w:val="00BA2B6C"/>
    <w:rsid w:val="00BA54FC"/>
    <w:rsid w:val="00BB2217"/>
    <w:rsid w:val="00BB2C6D"/>
    <w:rsid w:val="00BB4C63"/>
    <w:rsid w:val="00BB5CF1"/>
    <w:rsid w:val="00BC1778"/>
    <w:rsid w:val="00BC6EEB"/>
    <w:rsid w:val="00BD02D4"/>
    <w:rsid w:val="00BD4AC5"/>
    <w:rsid w:val="00BD4D92"/>
    <w:rsid w:val="00BD5A37"/>
    <w:rsid w:val="00BD65C4"/>
    <w:rsid w:val="00BE3FEC"/>
    <w:rsid w:val="00BE54A3"/>
    <w:rsid w:val="00BE69AA"/>
    <w:rsid w:val="00BE73ED"/>
    <w:rsid w:val="00C0379B"/>
    <w:rsid w:val="00C074C7"/>
    <w:rsid w:val="00C07559"/>
    <w:rsid w:val="00C10CB9"/>
    <w:rsid w:val="00C12506"/>
    <w:rsid w:val="00C1571C"/>
    <w:rsid w:val="00C15FCD"/>
    <w:rsid w:val="00C21F89"/>
    <w:rsid w:val="00C231E9"/>
    <w:rsid w:val="00C24929"/>
    <w:rsid w:val="00C2522A"/>
    <w:rsid w:val="00C2668F"/>
    <w:rsid w:val="00C27FE5"/>
    <w:rsid w:val="00C30476"/>
    <w:rsid w:val="00C31649"/>
    <w:rsid w:val="00C324B9"/>
    <w:rsid w:val="00C3596D"/>
    <w:rsid w:val="00C36928"/>
    <w:rsid w:val="00C4021E"/>
    <w:rsid w:val="00C404CF"/>
    <w:rsid w:val="00C40B86"/>
    <w:rsid w:val="00C4344B"/>
    <w:rsid w:val="00C44158"/>
    <w:rsid w:val="00C46E82"/>
    <w:rsid w:val="00C47755"/>
    <w:rsid w:val="00C54286"/>
    <w:rsid w:val="00C552B4"/>
    <w:rsid w:val="00C55ADC"/>
    <w:rsid w:val="00C570A2"/>
    <w:rsid w:val="00C67E40"/>
    <w:rsid w:val="00C703A8"/>
    <w:rsid w:val="00C7076C"/>
    <w:rsid w:val="00C7276B"/>
    <w:rsid w:val="00C72828"/>
    <w:rsid w:val="00C735F3"/>
    <w:rsid w:val="00C741B6"/>
    <w:rsid w:val="00C758D5"/>
    <w:rsid w:val="00C759F6"/>
    <w:rsid w:val="00C765DF"/>
    <w:rsid w:val="00C76A8B"/>
    <w:rsid w:val="00C76FDF"/>
    <w:rsid w:val="00C807EB"/>
    <w:rsid w:val="00C824E8"/>
    <w:rsid w:val="00C82B7B"/>
    <w:rsid w:val="00C84114"/>
    <w:rsid w:val="00C87A8F"/>
    <w:rsid w:val="00C91CB3"/>
    <w:rsid w:val="00C92EF9"/>
    <w:rsid w:val="00C936F2"/>
    <w:rsid w:val="00C964D0"/>
    <w:rsid w:val="00CA3DA2"/>
    <w:rsid w:val="00CA4BB2"/>
    <w:rsid w:val="00CA6A61"/>
    <w:rsid w:val="00CB00F2"/>
    <w:rsid w:val="00CB3108"/>
    <w:rsid w:val="00CB36FC"/>
    <w:rsid w:val="00CB4092"/>
    <w:rsid w:val="00CB567D"/>
    <w:rsid w:val="00CC30BD"/>
    <w:rsid w:val="00CC6A50"/>
    <w:rsid w:val="00CD1796"/>
    <w:rsid w:val="00CD38B9"/>
    <w:rsid w:val="00CD7F89"/>
    <w:rsid w:val="00CE405D"/>
    <w:rsid w:val="00CE4684"/>
    <w:rsid w:val="00CE615D"/>
    <w:rsid w:val="00CE6F9C"/>
    <w:rsid w:val="00CE7BCE"/>
    <w:rsid w:val="00CF189D"/>
    <w:rsid w:val="00CF348D"/>
    <w:rsid w:val="00CF4B18"/>
    <w:rsid w:val="00CF4C22"/>
    <w:rsid w:val="00CF5372"/>
    <w:rsid w:val="00CF73D2"/>
    <w:rsid w:val="00CF77B2"/>
    <w:rsid w:val="00D0256E"/>
    <w:rsid w:val="00D03EB6"/>
    <w:rsid w:val="00D04853"/>
    <w:rsid w:val="00D0493D"/>
    <w:rsid w:val="00D07E31"/>
    <w:rsid w:val="00D114E6"/>
    <w:rsid w:val="00D12D28"/>
    <w:rsid w:val="00D145E4"/>
    <w:rsid w:val="00D175E9"/>
    <w:rsid w:val="00D20742"/>
    <w:rsid w:val="00D20FED"/>
    <w:rsid w:val="00D21DC2"/>
    <w:rsid w:val="00D232F4"/>
    <w:rsid w:val="00D23BE8"/>
    <w:rsid w:val="00D26F17"/>
    <w:rsid w:val="00D27016"/>
    <w:rsid w:val="00D279F4"/>
    <w:rsid w:val="00D30F77"/>
    <w:rsid w:val="00D30FE4"/>
    <w:rsid w:val="00D31DC5"/>
    <w:rsid w:val="00D35515"/>
    <w:rsid w:val="00D36D3B"/>
    <w:rsid w:val="00D44412"/>
    <w:rsid w:val="00D44C9E"/>
    <w:rsid w:val="00D506BC"/>
    <w:rsid w:val="00D50D2C"/>
    <w:rsid w:val="00D51848"/>
    <w:rsid w:val="00D51DD7"/>
    <w:rsid w:val="00D52D3C"/>
    <w:rsid w:val="00D53225"/>
    <w:rsid w:val="00D56466"/>
    <w:rsid w:val="00D573E9"/>
    <w:rsid w:val="00D57BFF"/>
    <w:rsid w:val="00D61BD2"/>
    <w:rsid w:val="00D627BE"/>
    <w:rsid w:val="00D632D7"/>
    <w:rsid w:val="00D654D0"/>
    <w:rsid w:val="00D677D0"/>
    <w:rsid w:val="00D7031E"/>
    <w:rsid w:val="00D70592"/>
    <w:rsid w:val="00D70EC3"/>
    <w:rsid w:val="00D728A3"/>
    <w:rsid w:val="00D76BE3"/>
    <w:rsid w:val="00D830A9"/>
    <w:rsid w:val="00D83D7D"/>
    <w:rsid w:val="00D83EB2"/>
    <w:rsid w:val="00D84AC6"/>
    <w:rsid w:val="00D84E2B"/>
    <w:rsid w:val="00D852B9"/>
    <w:rsid w:val="00D8703A"/>
    <w:rsid w:val="00D91258"/>
    <w:rsid w:val="00D92061"/>
    <w:rsid w:val="00DA0A43"/>
    <w:rsid w:val="00DA1C8F"/>
    <w:rsid w:val="00DA230D"/>
    <w:rsid w:val="00DA3D68"/>
    <w:rsid w:val="00DA6B06"/>
    <w:rsid w:val="00DA6BF7"/>
    <w:rsid w:val="00DA7FC3"/>
    <w:rsid w:val="00DB7FF3"/>
    <w:rsid w:val="00DC08D6"/>
    <w:rsid w:val="00DC15FA"/>
    <w:rsid w:val="00DC34C9"/>
    <w:rsid w:val="00DC35F5"/>
    <w:rsid w:val="00DC5EE7"/>
    <w:rsid w:val="00DC6716"/>
    <w:rsid w:val="00DD1770"/>
    <w:rsid w:val="00DD20C5"/>
    <w:rsid w:val="00DD2D16"/>
    <w:rsid w:val="00DD3081"/>
    <w:rsid w:val="00DE1C5F"/>
    <w:rsid w:val="00DE4036"/>
    <w:rsid w:val="00DE4328"/>
    <w:rsid w:val="00DF06A3"/>
    <w:rsid w:val="00DF08DB"/>
    <w:rsid w:val="00DF0E30"/>
    <w:rsid w:val="00DF3C82"/>
    <w:rsid w:val="00DF76C0"/>
    <w:rsid w:val="00E00E89"/>
    <w:rsid w:val="00E04CC2"/>
    <w:rsid w:val="00E05A39"/>
    <w:rsid w:val="00E11244"/>
    <w:rsid w:val="00E116AA"/>
    <w:rsid w:val="00E123D7"/>
    <w:rsid w:val="00E14024"/>
    <w:rsid w:val="00E14E5B"/>
    <w:rsid w:val="00E15FC3"/>
    <w:rsid w:val="00E21A05"/>
    <w:rsid w:val="00E23B3B"/>
    <w:rsid w:val="00E25A4E"/>
    <w:rsid w:val="00E26022"/>
    <w:rsid w:val="00E35248"/>
    <w:rsid w:val="00E4250A"/>
    <w:rsid w:val="00E42A31"/>
    <w:rsid w:val="00E44716"/>
    <w:rsid w:val="00E4576A"/>
    <w:rsid w:val="00E45C5F"/>
    <w:rsid w:val="00E4675F"/>
    <w:rsid w:val="00E474B5"/>
    <w:rsid w:val="00E47C0C"/>
    <w:rsid w:val="00E50228"/>
    <w:rsid w:val="00E5422F"/>
    <w:rsid w:val="00E557CD"/>
    <w:rsid w:val="00E55876"/>
    <w:rsid w:val="00E55FDE"/>
    <w:rsid w:val="00E616B2"/>
    <w:rsid w:val="00E63591"/>
    <w:rsid w:val="00E67181"/>
    <w:rsid w:val="00E673A1"/>
    <w:rsid w:val="00E703E2"/>
    <w:rsid w:val="00E707E2"/>
    <w:rsid w:val="00E70BD0"/>
    <w:rsid w:val="00E720D8"/>
    <w:rsid w:val="00E72964"/>
    <w:rsid w:val="00E73C6B"/>
    <w:rsid w:val="00E77381"/>
    <w:rsid w:val="00E831F7"/>
    <w:rsid w:val="00E837D8"/>
    <w:rsid w:val="00E84D40"/>
    <w:rsid w:val="00E85149"/>
    <w:rsid w:val="00E86ADF"/>
    <w:rsid w:val="00E903AA"/>
    <w:rsid w:val="00E910E7"/>
    <w:rsid w:val="00E926AC"/>
    <w:rsid w:val="00E9343B"/>
    <w:rsid w:val="00E937DF"/>
    <w:rsid w:val="00E942C3"/>
    <w:rsid w:val="00E94755"/>
    <w:rsid w:val="00E9531B"/>
    <w:rsid w:val="00E95703"/>
    <w:rsid w:val="00E9607D"/>
    <w:rsid w:val="00E96CF0"/>
    <w:rsid w:val="00E97189"/>
    <w:rsid w:val="00E97FAE"/>
    <w:rsid w:val="00EA1A19"/>
    <w:rsid w:val="00EA219E"/>
    <w:rsid w:val="00EA2933"/>
    <w:rsid w:val="00EA48D0"/>
    <w:rsid w:val="00EA51E6"/>
    <w:rsid w:val="00EB1C73"/>
    <w:rsid w:val="00EB33E5"/>
    <w:rsid w:val="00EB34E5"/>
    <w:rsid w:val="00EB3572"/>
    <w:rsid w:val="00EB3C25"/>
    <w:rsid w:val="00EB478E"/>
    <w:rsid w:val="00EB4F1D"/>
    <w:rsid w:val="00EB62E9"/>
    <w:rsid w:val="00EC0F00"/>
    <w:rsid w:val="00EC3188"/>
    <w:rsid w:val="00ED004D"/>
    <w:rsid w:val="00ED08BF"/>
    <w:rsid w:val="00ED3853"/>
    <w:rsid w:val="00ED7C30"/>
    <w:rsid w:val="00EE0A92"/>
    <w:rsid w:val="00EE276E"/>
    <w:rsid w:val="00EE2AF6"/>
    <w:rsid w:val="00EE4D75"/>
    <w:rsid w:val="00EF4619"/>
    <w:rsid w:val="00EF71D4"/>
    <w:rsid w:val="00EF7440"/>
    <w:rsid w:val="00F00338"/>
    <w:rsid w:val="00F0132A"/>
    <w:rsid w:val="00F02A92"/>
    <w:rsid w:val="00F069D7"/>
    <w:rsid w:val="00F0708A"/>
    <w:rsid w:val="00F10A2A"/>
    <w:rsid w:val="00F10A3A"/>
    <w:rsid w:val="00F11501"/>
    <w:rsid w:val="00F13366"/>
    <w:rsid w:val="00F13B2C"/>
    <w:rsid w:val="00F14630"/>
    <w:rsid w:val="00F16418"/>
    <w:rsid w:val="00F16593"/>
    <w:rsid w:val="00F17847"/>
    <w:rsid w:val="00F2309B"/>
    <w:rsid w:val="00F270C7"/>
    <w:rsid w:val="00F2715C"/>
    <w:rsid w:val="00F2757F"/>
    <w:rsid w:val="00F27BAF"/>
    <w:rsid w:val="00F307FE"/>
    <w:rsid w:val="00F3089D"/>
    <w:rsid w:val="00F30BF5"/>
    <w:rsid w:val="00F327FB"/>
    <w:rsid w:val="00F33043"/>
    <w:rsid w:val="00F3309F"/>
    <w:rsid w:val="00F332B2"/>
    <w:rsid w:val="00F3378C"/>
    <w:rsid w:val="00F42A1A"/>
    <w:rsid w:val="00F4428E"/>
    <w:rsid w:val="00F44DCF"/>
    <w:rsid w:val="00F45CB4"/>
    <w:rsid w:val="00F46704"/>
    <w:rsid w:val="00F474A7"/>
    <w:rsid w:val="00F47E0D"/>
    <w:rsid w:val="00F47F05"/>
    <w:rsid w:val="00F55784"/>
    <w:rsid w:val="00F57E60"/>
    <w:rsid w:val="00F60700"/>
    <w:rsid w:val="00F6273A"/>
    <w:rsid w:val="00F63F60"/>
    <w:rsid w:val="00F6581E"/>
    <w:rsid w:val="00F67D4E"/>
    <w:rsid w:val="00F723C2"/>
    <w:rsid w:val="00F72D63"/>
    <w:rsid w:val="00F73A88"/>
    <w:rsid w:val="00F74371"/>
    <w:rsid w:val="00F7446D"/>
    <w:rsid w:val="00F744EE"/>
    <w:rsid w:val="00F75B1B"/>
    <w:rsid w:val="00F807BF"/>
    <w:rsid w:val="00F80E02"/>
    <w:rsid w:val="00F811B9"/>
    <w:rsid w:val="00F8348E"/>
    <w:rsid w:val="00F84794"/>
    <w:rsid w:val="00F917BD"/>
    <w:rsid w:val="00F9418D"/>
    <w:rsid w:val="00F95665"/>
    <w:rsid w:val="00F96309"/>
    <w:rsid w:val="00F97C0A"/>
    <w:rsid w:val="00F97D18"/>
    <w:rsid w:val="00F97D89"/>
    <w:rsid w:val="00FA0B89"/>
    <w:rsid w:val="00FA0F24"/>
    <w:rsid w:val="00FA35B8"/>
    <w:rsid w:val="00FA53D5"/>
    <w:rsid w:val="00FA5C6B"/>
    <w:rsid w:val="00FB1B0E"/>
    <w:rsid w:val="00FB3730"/>
    <w:rsid w:val="00FB4151"/>
    <w:rsid w:val="00FB6BD9"/>
    <w:rsid w:val="00FC0014"/>
    <w:rsid w:val="00FC0FA5"/>
    <w:rsid w:val="00FC3216"/>
    <w:rsid w:val="00FC6C55"/>
    <w:rsid w:val="00FC7A29"/>
    <w:rsid w:val="00FC7B4C"/>
    <w:rsid w:val="00FC7C20"/>
    <w:rsid w:val="00FD0111"/>
    <w:rsid w:val="00FD1A66"/>
    <w:rsid w:val="00FD3851"/>
    <w:rsid w:val="00FD3D5E"/>
    <w:rsid w:val="00FD45F4"/>
    <w:rsid w:val="00FE05D0"/>
    <w:rsid w:val="00FE1335"/>
    <w:rsid w:val="00FE1E75"/>
    <w:rsid w:val="00FE2C44"/>
    <w:rsid w:val="00FE6BF5"/>
    <w:rsid w:val="00FF2A19"/>
    <w:rsid w:val="00FF2E27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A9C6B-2B1F-4341-9F73-9B636D9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4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745BF"/>
  </w:style>
  <w:style w:type="paragraph" w:styleId="a3">
    <w:name w:val="Title"/>
    <w:basedOn w:val="a"/>
    <w:link w:val="a4"/>
    <w:qFormat/>
    <w:rsid w:val="00A745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745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31">
    <w:name w:val="Body Text 31"/>
    <w:basedOn w:val="a"/>
    <w:rsid w:val="00A745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4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4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4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7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745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745BF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A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45B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745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sshowstyle">
    <w:name w:val="news_show_style"/>
    <w:basedOn w:val="a"/>
    <w:rsid w:val="00A7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745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745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KGK9">
    <w:name w:val="1KG=K9"/>
    <w:rsid w:val="00B67C5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">
    <w:name w:val="Обычный19"/>
    <w:rsid w:val="00B6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83E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4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464AA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64AA4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464AA4"/>
    <w:rPr>
      <w:color w:val="0563C1" w:themeColor="hyperlink"/>
      <w:u w:val="single"/>
    </w:rPr>
  </w:style>
  <w:style w:type="paragraph" w:customStyle="1" w:styleId="ParagraphStyle5">
    <w:name w:val="Paragraph Style5"/>
    <w:uiPriority w:val="99"/>
    <w:rsid w:val="00AD66C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oleObject" Target="embeddings/Microsoft_Excel_97-2003_Worksheet1.xls"/><Relationship Id="rId30" Type="http://schemas.openxmlformats.org/officeDocument/2006/relationships/hyperlink" Target="http://www.kemerov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промышленного прозводства</a:t>
            </a:r>
          </a:p>
        </c:rich>
      </c:tx>
      <c:layout>
        <c:manualLayout>
          <c:xMode val="edge"/>
          <c:yMode val="edge"/>
          <c:x val="7.4576105499828141E-2"/>
          <c:y val="1.9900514984209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41277032494088"/>
          <c:y val="0.31787193373685885"/>
          <c:w val="0.44862401496094467"/>
          <c:h val="0.466294245872977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7.2075267514637664E-2"/>
                  <c:y val="7.6457470532016444E-2"/>
                </c:manualLayout>
              </c:layout>
              <c:tx>
                <c:rich>
                  <a:bodyPr/>
                  <a:lstStyle/>
                  <a:p>
                    <a:fld id="{FFE5A1C2-150B-4E92-B759-0E1B7A347C1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7933615990308903E-2"/>
                  <c:y val="3.1857279388340237E-2"/>
                </c:manualLayout>
              </c:layout>
              <c:tx>
                <c:rich>
                  <a:bodyPr/>
                  <a:lstStyle/>
                  <a:p>
                    <a:fld id="{ECFF76FF-063A-4A4A-AC43-76FD89D69A1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9.2469210579446803E-3"/>
                  <c:y val="2.5485823510672131E-2"/>
                </c:manualLayout>
              </c:layout>
              <c:tx>
                <c:rich>
                  <a:bodyPr/>
                  <a:lstStyle/>
                  <a:p>
                    <a:fld id="{38C4C750-46C1-4721-BDC0-76D5D7AE50A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Добывающая промышленность</c:v>
                </c:pt>
                <c:pt idx="1">
                  <c:v>Обрабатывающая промышленность</c:v>
                </c:pt>
                <c:pt idx="2">
                  <c:v>Поставка электроэнергии, газа и воды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80.400000000000006</c:v>
                </c:pt>
                <c:pt idx="1">
                  <c:v>98.5</c:v>
                </c:pt>
                <c:pt idx="2">
                  <c:v>112.7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4407026044821322E-2"/>
                  <c:y val="6.3714558776679303E-3"/>
                </c:manualLayout>
              </c:layout>
              <c:tx>
                <c:rich>
                  <a:bodyPr/>
                  <a:lstStyle/>
                  <a:p>
                    <a:fld id="{FF1D7709-4721-4605-A396-D1E8B7062F9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1571492025035332E-2"/>
                  <c:y val="-5.8404337520066236E-17"/>
                </c:manualLayout>
              </c:layout>
              <c:tx>
                <c:rich>
                  <a:bodyPr/>
                  <a:lstStyle/>
                  <a:p>
                    <a:fld id="{B1038389-B0A3-4963-AA4A-AF40D2EDE4D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9.4753078942055313E-3"/>
                  <c:y val="-2.54855726659526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68B3D9F-4202-4D7F-B601-8297E64E8827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75913886413939"/>
                      <c:h val="0.11459088480457941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Добывающая промышленность</c:v>
                </c:pt>
                <c:pt idx="1">
                  <c:v>Обрабатывающая промышленность</c:v>
                </c:pt>
                <c:pt idx="2">
                  <c:v>Поставка электроэнергии, газа и воды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89.7</c:v>
                </c:pt>
                <c:pt idx="1">
                  <c:v>101.2</c:v>
                </c:pt>
                <c:pt idx="2" formatCode="General">
                  <c:v>105.4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5728272"/>
        <c:axId val="315728664"/>
      </c:barChart>
      <c:catAx>
        <c:axId val="315728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728664"/>
        <c:crosses val="autoZero"/>
        <c:auto val="1"/>
        <c:lblAlgn val="r"/>
        <c:lblOffset val="100"/>
        <c:noMultiLvlLbl val="0"/>
      </c:catAx>
      <c:valAx>
        <c:axId val="3157286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572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600"/>
              <a:t>Объем отгруженных товаров, выполненных работ и услуг (всеми категориями производителей)</a:t>
            </a:r>
          </a:p>
        </c:rich>
      </c:tx>
      <c:layout>
        <c:manualLayout>
          <c:xMode val="edge"/>
          <c:yMode val="edge"/>
          <c:x val="0.12415884807974255"/>
          <c:y val="9.615384615384615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31183795772188"/>
          <c:y val="0.16965270126217155"/>
          <c:w val="0.74358974358974361"/>
          <c:h val="0.589150420368576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Sheet1!$A$2:$D$2</c:f>
              <c:strCache>
                <c:ptCount val="4"/>
                <c:pt idx="0">
                  <c:v>Объем отгруженных товаров, выполненных работ, услуг, млн. рублей </c:v>
                </c:pt>
              </c:strCache>
            </c:strRef>
          </c:tx>
          <c:spPr>
            <a:gradFill rotWithShape="0"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37894174238375E-3"/>
                  <c:y val="2.2753128555176336E-2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13682522715086E-3"/>
                  <c:y val="9.1012514220704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94700295012563E-4"/>
                  <c:y val="1.0947300529413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0450220312519725E-4"/>
                  <c:y val="2.2745603898488797E-2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122209269538794E-3"/>
                  <c:y val="2.3018999758136035E-2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41822344360883"/>
                      <c:h val="5.5834536575348627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1.7726004452543379E-4"/>
                  <c:y val="1.2349394892191336E-2"/>
                </c:manualLayout>
              </c:layout>
              <c:numFmt formatCode="#,##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378941742382185E-3"/>
                  <c:y val="1.969345981922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137894174238375E-3"/>
                  <c:y val="2.2753128555176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Sheet1!$E$1:$L$1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2016 год</c:v>
                </c:pt>
              </c:strCache>
            </c:strRef>
          </c:cat>
          <c:val>
            <c:numRef>
              <c:f>Sheet1!$E$2:$L$2</c:f>
              <c:numCache>
                <c:formatCode>General</c:formatCode>
                <c:ptCount val="8"/>
                <c:pt idx="0">
                  <c:v>76221.399999999994</c:v>
                </c:pt>
                <c:pt idx="1">
                  <c:v>104676.3</c:v>
                </c:pt>
                <c:pt idx="2">
                  <c:v>133167.9</c:v>
                </c:pt>
                <c:pt idx="3">
                  <c:v>131710</c:v>
                </c:pt>
                <c:pt idx="4">
                  <c:v>133367</c:v>
                </c:pt>
                <c:pt idx="5">
                  <c:v>127676</c:v>
                </c:pt>
                <c:pt idx="6">
                  <c:v>124583</c:v>
                </c:pt>
                <c:pt idx="7">
                  <c:v>129014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104600"/>
        <c:axId val="240104992"/>
      </c:barChart>
      <c:lineChart>
        <c:grouping val="standard"/>
        <c:varyColors val="0"/>
        <c:ser>
          <c:idx val="2"/>
          <c:order val="1"/>
          <c:tx>
            <c:strRef>
              <c:f>Sheet1!$A$3:$D$3</c:f>
              <c:strCache>
                <c:ptCount val="4"/>
                <c:pt idx="0">
                  <c:v>Индекс промышленного производства, в процентах</c:v>
                </c:pt>
              </c:strCache>
            </c:strRef>
          </c:tx>
          <c:spPr>
            <a:ln w="38100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FF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280614486507967E-2"/>
                  <c:y val="-5.3988688033714094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481501744403809E-2"/>
                  <c:y val="-3.4930531294509688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750333519908127E-2"/>
                  <c:y val="-4.582766744600611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247074072982991E-2"/>
                  <c:y val="-5.4379608416918544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36439732847397E-2"/>
                  <c:y val="-5.5813961821325232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135781530782809E-2"/>
                  <c:y val="-4.8052457606621739E-2"/>
                </c:manualLayout>
              </c:layout>
              <c:numFmt formatCode="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875307743132857E-2"/>
                  <c:y val="-5.5172528861765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2757883484767507E-2"/>
                  <c:y val="-5.0056882821387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Sheet1!$E$1:$L$1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2016 год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  <c:pt idx="0">
                  <c:v>93.5</c:v>
                </c:pt>
                <c:pt idx="1">
                  <c:v>109.7</c:v>
                </c:pt>
                <c:pt idx="2">
                  <c:v>102.1</c:v>
                </c:pt>
                <c:pt idx="3">
                  <c:v>99.5</c:v>
                </c:pt>
                <c:pt idx="4">
                  <c:v>96.1</c:v>
                </c:pt>
                <c:pt idx="5">
                  <c:v>102.4</c:v>
                </c:pt>
                <c:pt idx="6">
                  <c:v>97.8</c:v>
                </c:pt>
                <c:pt idx="7">
                  <c:v>113.4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0105384"/>
        <c:axId val="240105776"/>
      </c:lineChart>
      <c:catAx>
        <c:axId val="2401046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4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104992"/>
        <c:scaling>
          <c:orientation val="minMax"/>
          <c:max val="260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2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8.935594829349483E-3"/>
              <c:y val="0.33646880678376739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4600"/>
        <c:crosses val="autoZero"/>
        <c:crossBetween val="between"/>
        <c:majorUnit val="40000"/>
      </c:valAx>
      <c:catAx>
        <c:axId val="240105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0105776"/>
        <c:crossesAt val="0"/>
        <c:auto val="0"/>
        <c:lblAlgn val="ctr"/>
        <c:lblOffset val="100"/>
        <c:noMultiLvlLbl val="0"/>
      </c:catAx>
      <c:valAx>
        <c:axId val="240105776"/>
        <c:scaling>
          <c:orientation val="minMax"/>
          <c:max val="140"/>
          <c:min val="0"/>
        </c:scaling>
        <c:delete val="0"/>
        <c:axPos val="r"/>
        <c:majorGridlines/>
        <c:title>
          <c:tx>
            <c:rich>
              <a:bodyPr/>
              <a:lstStyle/>
              <a:p>
                <a:pPr>
                  <a:defRPr sz="11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 процентах
</a:t>
                </a:r>
              </a:p>
            </c:rich>
          </c:tx>
          <c:layout>
            <c:manualLayout>
              <c:xMode val="edge"/>
              <c:yMode val="edge"/>
              <c:x val="0.9308400860372803"/>
              <c:y val="0.33967394920705335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5384"/>
        <c:crosses val="max"/>
        <c:crossBetween val="between"/>
        <c:majorUnit val="20"/>
      </c:valAx>
      <c:spPr>
        <a:noFill/>
        <a:ln w="25400">
          <a:gradFill>
            <a:gsLst>
              <a:gs pos="60000">
                <a:srgbClr val="5B9BD5">
                  <a:lumMod val="5000"/>
                  <a:lumOff val="95000"/>
                </a:srgbClr>
              </a:gs>
              <a:gs pos="74000">
                <a:srgbClr val="5B9BD5">
                  <a:lumMod val="45000"/>
                  <a:lumOff val="55000"/>
                </a:srgbClr>
              </a:gs>
              <a:gs pos="83000">
                <a:srgbClr val="5B9BD5">
                  <a:lumMod val="45000"/>
                  <a:lumOff val="55000"/>
                </a:srgbClr>
              </a:gs>
              <a:gs pos="100000">
                <a:srgbClr val="5B9BD5">
                  <a:lumMod val="30000"/>
                  <a:lumOff val="70000"/>
                </a:srgbClr>
              </a:gs>
            </a:gsLst>
            <a:lin ang="5400000" scaled="1"/>
          </a:gradFill>
        </a:ln>
      </c:spPr>
    </c:plotArea>
    <c:legend>
      <c:legendPos val="r"/>
      <c:layout>
        <c:manualLayout>
          <c:xMode val="edge"/>
          <c:yMode val="edge"/>
          <c:x val="8.1176470588235253E-2"/>
          <c:y val="0.85795325229736352"/>
          <c:w val="0.90705882352941192"/>
          <c:h val="0.1082700123477473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937234199880886E-2"/>
          <c:y val="0.11086385940887823"/>
          <c:w val="0.90463215258855589"/>
          <c:h val="0.857059819089565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Лист1!$H$1:$O$1</c:f>
              <c:strCache>
                <c:ptCount val="8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dPt>
          <c:dLbls>
            <c:dLbl>
              <c:idx val="4"/>
              <c:layout>
                <c:manualLayout>
                  <c:x val="0"/>
                  <c:y val="2.1800479267229243E-2"/>
                </c:manualLayout>
              </c:layout>
              <c:numFmt formatCode="#,##0.0" sourceLinked="0"/>
              <c:spPr>
                <a:noFill/>
                <a:ln w="42068">
                  <a:noFill/>
                </a:ln>
              </c:spPr>
              <c:txPr>
                <a:bodyPr/>
                <a:lstStyle/>
                <a:p>
                  <a:pPr>
                    <a:defRPr sz="995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2260039431358154E-2"/>
                  <c:y val="1.039001942938950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420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Лист1!$H$1:$O$1</c:f>
              <c:strCache>
                <c:ptCount val="8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  <c:pt idx="3">
                  <c:v>2012 год</c:v>
                </c:pt>
                <c:pt idx="4">
                  <c:v>2013 год</c:v>
                </c:pt>
                <c:pt idx="5">
                  <c:v>2014 год</c:v>
                </c:pt>
                <c:pt idx="6">
                  <c:v>2015 год</c:v>
                </c:pt>
                <c:pt idx="7">
                  <c:v>2016 год</c:v>
                </c:pt>
              </c:strCache>
            </c:strRef>
          </c:cat>
          <c:val>
            <c:numRef>
              <c:f>Лист1!$H$4:$O$4</c:f>
              <c:numCache>
                <c:formatCode>0.0</c:formatCode>
                <c:ptCount val="8"/>
                <c:pt idx="0">
                  <c:v>16115</c:v>
                </c:pt>
                <c:pt idx="1">
                  <c:v>21314</c:v>
                </c:pt>
                <c:pt idx="2">
                  <c:v>42192</c:v>
                </c:pt>
                <c:pt idx="3">
                  <c:v>55215.572999999997</c:v>
                </c:pt>
                <c:pt idx="4">
                  <c:v>4823.2730000000001</c:v>
                </c:pt>
                <c:pt idx="5">
                  <c:v>-38609.800000000003</c:v>
                </c:pt>
                <c:pt idx="6">
                  <c:v>7460.5</c:v>
                </c:pt>
                <c:pt idx="7">
                  <c:v>31190.799999999999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106560"/>
        <c:axId val="240106952"/>
      </c:barChart>
      <c:catAx>
        <c:axId val="24010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52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69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0106952"/>
        <c:scaling>
          <c:orientation val="minMax"/>
          <c:min val="-40000"/>
        </c:scaling>
        <c:delete val="0"/>
        <c:axPos val="l"/>
        <c:majorGridlines>
          <c:spPr>
            <a:ln w="5258">
              <a:solidFill>
                <a:srgbClr val="FFFFFF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52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6560"/>
        <c:crosses val="autoZero"/>
        <c:crossBetween val="between"/>
        <c:majorUnit val="10000"/>
        <c:minorUnit val="1000"/>
      </c:valAx>
      <c:spPr>
        <a:noFill/>
        <a:ln w="2490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5123749563373005E-2"/>
          <c:y val="7.0169614866887373E-2"/>
          <c:w val="0.83080890677013852"/>
          <c:h val="0.76745750912233535"/>
        </c:manualLayout>
      </c:layout>
      <c:barChart>
        <c:barDir val="col"/>
        <c:grouping val="clustered"/>
        <c:varyColors val="0"/>
        <c:ser>
          <c:idx val="1"/>
          <c:order val="0"/>
          <c:spPr>
            <a:gradFill rotWithShape="0">
              <a:gsLst>
                <a:gs pos="0">
                  <a:srgbClr val="CCFFFF"/>
                </a:gs>
                <a:gs pos="100000">
                  <a:srgbClr val="00FFFF"/>
                </a:gs>
              </a:gsLst>
              <a:lin ang="5400000" scaled="1"/>
            </a:gradFill>
            <a:ln w="9560">
              <a:solidFill>
                <a:srgbClr val="000000"/>
              </a:solidFill>
              <a:prstDash val="solid"/>
            </a:ln>
          </c:spPr>
          <c:invertIfNegative val="0"/>
          <c:dLbls>
            <c:numFmt formatCode="#,##0.0" sourceLinked="0"/>
            <c:spPr>
              <a:noFill/>
              <a:ln w="1912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 sz="105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Лист2!$D$1:$K$1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 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2016 год</c:v>
                </c:pt>
              </c:strCache>
            </c:strRef>
          </c:cat>
          <c:val>
            <c:numRef>
              <c:f>Лист2!$D$2:$K$2</c:f>
              <c:numCache>
                <c:formatCode>General</c:formatCode>
                <c:ptCount val="8"/>
                <c:pt idx="0">
                  <c:v>15096</c:v>
                </c:pt>
                <c:pt idx="1">
                  <c:v>14304.5</c:v>
                </c:pt>
                <c:pt idx="2">
                  <c:v>18742.400000000001</c:v>
                </c:pt>
                <c:pt idx="3" formatCode="0.0">
                  <c:v>23832.9</c:v>
                </c:pt>
                <c:pt idx="4" formatCode="0.0">
                  <c:v>24961.5</c:v>
                </c:pt>
                <c:pt idx="5">
                  <c:v>24093.599999999999</c:v>
                </c:pt>
                <c:pt idx="6">
                  <c:v>18658</c:v>
                </c:pt>
                <c:pt idx="7">
                  <c:v>16499.900000000001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40108128"/>
        <c:axId val="240108520"/>
      </c:barChart>
      <c:lineChart>
        <c:grouping val="standard"/>
        <c:varyColors val="0"/>
        <c:ser>
          <c:idx val="2"/>
          <c:order val="1"/>
          <c:spPr>
            <a:ln w="28680">
              <a:solidFill>
                <a:srgbClr val="0000FF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379827521559824E-2"/>
                  <c:y val="6.002837024012779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334163801411518E-2"/>
                  <c:y val="-3.0649377519068374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978583182179726E-3"/>
                  <c:y val="-5.1659352333358534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91352049727082E-2"/>
                  <c:y val="3.7547397277715222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526898327981661E-2"/>
                  <c:y val="-5.393044287857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920784287319432E-2"/>
                  <c:y val="-5.8501669100356944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47788668319186E-2"/>
                  <c:y val="-6.5508707571230201E-2"/>
                </c:manualLayout>
              </c:layout>
              <c:numFmt formatCode="#,##0.0" sourceLinked="0"/>
              <c:spPr>
                <a:noFill/>
                <a:ln w="19120">
                  <a:noFill/>
                </a:ln>
              </c:spPr>
              <c:txPr>
                <a:bodyPr/>
                <a:lstStyle/>
                <a:p>
                  <a:pPr>
                    <a:defRPr sz="105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0619989310529125E-2"/>
                  <c:y val="-5.5583628094997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19120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Лист2!$D$1:$K$1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 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2016 год</c:v>
                </c:pt>
              </c:strCache>
            </c:strRef>
          </c:cat>
          <c:val>
            <c:numRef>
              <c:f>Лист2!$D$3:$K$3</c:f>
              <c:numCache>
                <c:formatCode>General</c:formatCode>
                <c:ptCount val="8"/>
                <c:pt idx="0" formatCode="0.0">
                  <c:v>70</c:v>
                </c:pt>
                <c:pt idx="1">
                  <c:v>92</c:v>
                </c:pt>
                <c:pt idx="2" formatCode="0.0">
                  <c:v>149.80000000000001</c:v>
                </c:pt>
                <c:pt idx="3" formatCode="0.0">
                  <c:v>93.5</c:v>
                </c:pt>
                <c:pt idx="4" formatCode="0.0">
                  <c:v>101</c:v>
                </c:pt>
                <c:pt idx="5" formatCode="0.0">
                  <c:v>93.3</c:v>
                </c:pt>
                <c:pt idx="6" formatCode="0.0">
                  <c:v>69.5</c:v>
                </c:pt>
                <c:pt idx="7" formatCode="0.0">
                  <c:v>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108912"/>
        <c:axId val="240109304"/>
      </c:lineChart>
      <c:catAx>
        <c:axId val="2401081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23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85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010852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23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8128"/>
        <c:crosses val="autoZero"/>
        <c:crossBetween val="between"/>
      </c:valAx>
      <c:catAx>
        <c:axId val="24010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40109304"/>
        <c:crosses val="autoZero"/>
        <c:auto val="0"/>
        <c:lblAlgn val="ctr"/>
        <c:lblOffset val="100"/>
        <c:noMultiLvlLbl val="0"/>
      </c:catAx>
      <c:valAx>
        <c:axId val="24010930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aseline="0"/>
                  <a:t>в сопоставимых ценах, %</a:t>
                </a:r>
              </a:p>
            </c:rich>
          </c:tx>
          <c:layout>
            <c:manualLayout>
              <c:xMode val="edge"/>
              <c:yMode val="edge"/>
              <c:x val="0.96840358872666688"/>
              <c:y val="0.15048254890468787"/>
            </c:manualLayout>
          </c:layout>
          <c:overlay val="0"/>
          <c:spPr>
            <a:noFill/>
            <a:ln w="19120">
              <a:noFill/>
            </a:ln>
          </c:spPr>
        </c:title>
        <c:numFmt formatCode="0.0" sourceLinked="1"/>
        <c:majorTickMark val="cross"/>
        <c:minorTickMark val="none"/>
        <c:tickLblPos val="nextTo"/>
        <c:spPr>
          <a:ln w="239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08912"/>
        <c:crosses val="max"/>
        <c:crossBetween val="between"/>
      </c:valAx>
      <c:spPr>
        <a:noFill/>
        <a:ln w="1912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323529411764705"/>
          <c:y val="0.23043478260869565"/>
          <c:w val="0.48161764705882354"/>
          <c:h val="0.56956521739130439"/>
        </c:manualLayout>
      </c:layout>
      <c:pieChart>
        <c:varyColors val="0"/>
        <c:ser>
          <c:idx val="0"/>
          <c:order val="0"/>
          <c:spPr>
            <a:solidFill>
              <a:srgbClr val="FFFF99"/>
            </a:solidFill>
            <a:ln w="8073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pattFill prst="lgCheck">
                <a:fgClr>
                  <a:srgbClr val="800080"/>
                </a:fgClr>
                <a:bgClr>
                  <a:srgbClr val="FFFFFF"/>
                </a:bgClr>
              </a:patt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ED7D31">
                  <a:lumMod val="50000"/>
                </a:srgbClr>
              </a:solid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lgConfetti">
                <a:fgClr>
                  <a:srgbClr val="00FFFF"/>
                </a:fgClr>
                <a:bgClr>
                  <a:srgbClr val="FFFFFF"/>
                </a:bgClr>
              </a:patt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zigZag">
                <a:fgClr>
                  <a:srgbClr val="008000"/>
                </a:fgClr>
                <a:bgClr>
                  <a:srgbClr val="FFFFFF"/>
                </a:bgClr>
              </a:patt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FFFF"/>
              </a:solid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pattFill prst="wdDnDiag">
                <a:fgClr>
                  <a:srgbClr val="CC99FF"/>
                </a:fgClr>
                <a:bgClr>
                  <a:srgbClr val="FFFFFF"/>
                </a:bgClr>
              </a:pattFill>
              <a:ln w="807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C000"/>
              </a:solidFill>
              <a:ln w="80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849765258215962"/>
                  <c:y val="-0.215962441314554"/>
                </c:manualLayout>
              </c:layout>
              <c:tx>
                <c:rich>
                  <a:bodyPr/>
                  <a:lstStyle/>
                  <a:p>
                    <a:fld id="{1A83B853-A07C-4568-BF0A-F0F7DCBA96A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583776AF-9B34-4D8E-90A7-61375611AD1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6338028169014086E-2"/>
                  <c:y val="-0.12206572769953052"/>
                </c:manualLayout>
              </c:layout>
              <c:tx>
                <c:rich>
                  <a:bodyPr/>
                  <a:lstStyle/>
                  <a:p>
                    <a:fld id="{6AAE30BE-8C9E-41A4-804D-689A7ADE099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409733F-4B7E-474B-B348-D2F0DD5DA81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5.1643192488262955E-2"/>
                  <c:y val="-7.1227681046911392E-2"/>
                </c:manualLayout>
              </c:layout>
              <c:tx>
                <c:rich>
                  <a:bodyPr/>
                  <a:lstStyle/>
                  <a:p>
                    <a:fld id="{FDE8EE1B-80CB-429E-9113-77E2360D6BC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12ACBF69-30FD-49A4-BC37-6EF8E3E7658E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1126760563380368E-2"/>
                  <c:y val="-0.15492957746478872"/>
                </c:manualLayout>
              </c:layout>
              <c:tx>
                <c:rich>
                  <a:bodyPr/>
                  <a:lstStyle/>
                  <a:p>
                    <a:fld id="{804F755B-23DB-4FFE-9E84-B0A22E60A50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F82F0653-0127-435F-AA92-AFCAC332C09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1274305940630648"/>
                  <c:y val="-0.2206574618313556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0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EACAF423-F078-4115-8F39-256EB68BA06E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4C49850E-9C84-4191-9E93-E19D0F7F1865}" type="VALUE">
                      <a:rPr lang="ru-RU" baseline="0"/>
                      <a:pPr>
                        <a:defRPr sz="1000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27144523307825952"/>
                      <c:h val="0.314980222542604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6666666666666666"/>
                  <c:y val="-5.1643192488262914E-2"/>
                </c:manualLayout>
              </c:layout>
              <c:tx>
                <c:rich>
                  <a:bodyPr/>
                  <a:lstStyle/>
                  <a:p>
                    <a:fld id="{A1FFCE84-B9DC-47B7-8DF9-9277036F80B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642E8A63-39F2-4032-BB5A-EB479809971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3.7558685446009391E-2"/>
                  <c:y val="1.8263280470222912E-2"/>
                </c:manualLayout>
              </c:layout>
              <c:tx>
                <c:rich>
                  <a:bodyPr/>
                  <a:lstStyle/>
                  <a:p>
                    <a:fld id="{4588671E-35A7-4758-99F7-6ED943457B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3CA3F01A-61C0-418D-A82F-0384782552C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4.6948356807512163E-3"/>
                  <c:y val="1.3016524342907841E-2"/>
                </c:manualLayout>
              </c:layout>
              <c:tx>
                <c:rich>
                  <a:bodyPr/>
                  <a:lstStyle/>
                  <a:p>
                    <a:fld id="{5886769F-EBCE-4DB1-8B80-D3E7B091E07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5,7%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0.10093896713615023"/>
                  <c:y val="-9.3896713615023469E-2"/>
                </c:manualLayout>
              </c:layout>
              <c:tx>
                <c:rich>
                  <a:bodyPr/>
                  <a:lstStyle/>
                  <a:p>
                    <a:fld id="{7E16432E-0025-4169-BD85-942C82E2059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78AC230-3924-4701-9A52-43D9DA42737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Лист1!$A$2:$A$10</c:f>
              <c:strCache>
                <c:ptCount val="9"/>
                <c:pt idx="0">
                  <c:v>Оптовая и розничная торговля</c:v>
                </c:pt>
                <c:pt idx="1">
                  <c:v>Операции с недвижимым имуществом, аренда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Образование, здравоохранение, прочие социальные услуги</c:v>
                </c:pt>
                <c:pt idx="6">
                  <c:v>Государственное управление</c:v>
                </c:pt>
                <c:pt idx="7">
                  <c:v>Прочие виды деятельности</c:v>
                </c:pt>
                <c:pt idx="8">
                  <c:v>Добыча полезных ископаемых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0.14429333550233794</c:v>
                </c:pt>
                <c:pt idx="1">
                  <c:v>0.16175303232072186</c:v>
                </c:pt>
                <c:pt idx="2">
                  <c:v>0.17106546637064129</c:v>
                </c:pt>
                <c:pt idx="3">
                  <c:v>0.18710430711549014</c:v>
                </c:pt>
                <c:pt idx="4">
                  <c:v>7.1409917433143538E-2</c:v>
                </c:pt>
                <c:pt idx="5">
                  <c:v>0.11719062596086965</c:v>
                </c:pt>
                <c:pt idx="6">
                  <c:v>5.0704555675637031E-2</c:v>
                </c:pt>
                <c:pt idx="7">
                  <c:v>5.8771939743009427E-2</c:v>
                </c:pt>
                <c:pt idx="8">
                  <c:v>3.7706819878149112E-2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10"/>
      </c:pieChart>
      <c:spPr>
        <a:noFill/>
        <a:ln w="1614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0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3.7103028788068156E-2"/>
          <c:y val="0.16401175018685579"/>
          <c:w val="0.8062832145981752"/>
          <c:h val="0.81445099163929013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2744603096861695E-6"/>
                  <c:y val="-1.9219004404110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033714685185884E-2"/>
                  <c:y val="9.2316637503645382E-2"/>
                </c:manualLayout>
              </c:layout>
              <c:tx>
                <c:rich>
                  <a:bodyPr/>
                  <a:lstStyle/>
                  <a:p>
                    <a:fld id="{DFD7CDEB-8B9A-4654-A83D-CFEC8568370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  <a:p>
                    <a:fld id="{BA4CA514-3A5B-4E07-8DF5-23CA7DAF7B28}" type="VALUE">
                      <a:rPr lang="ru-RU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9817319485781939E-2"/>
                  <c:y val="-2.14687486098136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079518768288"/>
                      <c:h val="0.1173109124071355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417640976696095"/>
                  <c:y val="-4.13658970594777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67995746943112"/>
                      <c:h val="0.1172429378531073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8657524268796542E-2"/>
                  <c:y val="-3.2808398950131235E-6"/>
                </c:manualLayout>
              </c:layout>
              <c:tx>
                <c:rich>
                  <a:bodyPr/>
                  <a:lstStyle/>
                  <a:p>
                    <a:fld id="{1E998974-383F-4D46-B4CD-5770D30B227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  <a:p>
                    <a:fld id="{A98574D0-E7A4-43FC-A713-4EB734AC0484}" type="VALUE">
                      <a:rPr lang="ru-RU" baseline="0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5134879671141585"/>
                  <c:y val="-7.44011744294675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91493886230725"/>
                      <c:h val="0.12641807909604519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2.2973037461226517E-2"/>
                  <c:y val="-2.43783086436229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baseline="0"/>
                      <a:t>Бюджетные инвестиции </a:t>
                    </a:r>
                    <a:fld id="{4EA1A40E-DBC7-4A4C-9181-07BAEA0175C6}" type="VALUE">
                      <a:rPr lang="en-US" baseline="0"/>
                      <a:pPr>
                        <a:defRPr/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896331738437"/>
                      <c:h val="0.1761355932203389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Собственные средства</c:v>
                </c:pt>
                <c:pt idx="1">
                  <c:v>Кредиты банков</c:v>
                </c:pt>
                <c:pt idx="2">
                  <c:v>Средства внебюджетных фондов</c:v>
                </c:pt>
                <c:pt idx="3">
                  <c:v>Средства организаций и населения для долевого строительства</c:v>
                </c:pt>
                <c:pt idx="4">
                  <c:v>Прочие средства</c:v>
                </c:pt>
                <c:pt idx="5">
                  <c:v>Заемные средства других организаций</c:v>
                </c:pt>
                <c:pt idx="6">
                  <c:v>Федеральный бюджет</c:v>
                </c:pt>
                <c:pt idx="7">
                  <c:v>Областной бюджет</c:v>
                </c:pt>
                <c:pt idx="8">
                  <c:v>Местный бюджет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0.56591634183269457</c:v>
                </c:pt>
                <c:pt idx="1">
                  <c:v>1.5221816587560005E-2</c:v>
                </c:pt>
                <c:pt idx="2">
                  <c:v>7.9709095630853891E-3</c:v>
                </c:pt>
                <c:pt idx="3">
                  <c:v>0.13757002912229113</c:v>
                </c:pt>
                <c:pt idx="4">
                  <c:v>7.4999999999999997E-2</c:v>
                </c:pt>
                <c:pt idx="5">
                  <c:v>1.8793987237158648E-3</c:v>
                </c:pt>
                <c:pt idx="6">
                  <c:v>7.9988123970285124E-2</c:v>
                </c:pt>
                <c:pt idx="7">
                  <c:v>1.6530392629955776E-2</c:v>
                </c:pt>
                <c:pt idx="8">
                  <c:v>9.9392082962967282E-2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Собственные средства</c:v>
                </c:pt>
                <c:pt idx="1">
                  <c:v>Кредиты банков</c:v>
                </c:pt>
                <c:pt idx="2">
                  <c:v>Средства внебюджетных фондов</c:v>
                </c:pt>
                <c:pt idx="3">
                  <c:v>Средства организаций и населения для долевого строительства</c:v>
                </c:pt>
                <c:pt idx="4">
                  <c:v>Прочие средства</c:v>
                </c:pt>
                <c:pt idx="5">
                  <c:v>Заемные средства других организаций</c:v>
                </c:pt>
                <c:pt idx="6">
                  <c:v>Федеральный бюджет</c:v>
                </c:pt>
                <c:pt idx="7">
                  <c:v>Областной бюджет</c:v>
                </c:pt>
                <c:pt idx="8">
                  <c:v>Местный бюджет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9309291</c:v>
                </c:pt>
                <c:pt idx="1">
                  <c:v>250398</c:v>
                </c:pt>
                <c:pt idx="2">
                  <c:v>131121</c:v>
                </c:pt>
                <c:pt idx="3">
                  <c:v>2263019</c:v>
                </c:pt>
                <c:pt idx="4">
                  <c:v>1242479</c:v>
                </c:pt>
                <c:pt idx="5">
                  <c:v>30916</c:v>
                </c:pt>
                <c:pt idx="6">
                  <c:v>1315800</c:v>
                </c:pt>
                <c:pt idx="7">
                  <c:v>271924</c:v>
                </c:pt>
                <c:pt idx="8">
                  <c:v>1634994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ввода жилья по городу Кемерово</a:t>
            </a:r>
          </a:p>
        </c:rich>
      </c:tx>
      <c:layout>
        <c:manualLayout>
          <c:xMode val="edge"/>
          <c:yMode val="edge"/>
          <c:x val="0.2347560975609756"/>
          <c:y val="0"/>
        </c:manualLayout>
      </c:layout>
      <c:overlay val="0"/>
      <c:spPr>
        <a:noFill/>
        <a:ln w="25401">
          <a:noFill/>
        </a:ln>
      </c:spPr>
    </c:title>
    <c:autoTitleDeleted val="0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51218137610097E-2"/>
          <c:y val="0.1336032500887884"/>
          <c:w val="0.88299293109833665"/>
          <c:h val="0.659919028340080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многоквартирных жилых домов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704217187575478E-2"/>
                  <c:y val="-2.815311452405083E-2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93111443891599E-2"/>
                  <c:y val="-4.3400466030855053E-2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01430032362927E-2"/>
                  <c:y val="-7.8546234230015347E-3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573361149269768E-2"/>
                  <c:y val="-2.4134949624152913E-2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4948551660866E-2"/>
                  <c:y val="5.1396979188010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4407891691251047E-2"/>
                  <c:y val="9.857155402043145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241047568145219E-2"/>
                  <c:y val="-4.6468401486989058E-3"/>
                </c:manualLayout>
              </c:layout>
              <c:numFmt formatCode="0.00" sourceLinked="0"/>
              <c:spPr>
                <a:noFill/>
                <a:ln w="2540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176</c:v>
                </c:pt>
                <c:pt idx="1">
                  <c:v>174.8</c:v>
                </c:pt>
                <c:pt idx="2">
                  <c:v>209.4</c:v>
                </c:pt>
                <c:pt idx="3" formatCode="0.0">
                  <c:v>235</c:v>
                </c:pt>
                <c:pt idx="4">
                  <c:v>218.3</c:v>
                </c:pt>
                <c:pt idx="5">
                  <c:v>270.5</c:v>
                </c:pt>
                <c:pt idx="6">
                  <c:v>291.22000000000003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Ввод индивидуального жилья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59113615608309E-2"/>
                  <c:y val="-7.8516962796007384E-3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0523968246293E-2"/>
                  <c:y val="-5.6242474641165713E-3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873049611129897E-2"/>
                  <c:y val="-1.6818689742990046E-2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567097471982224E-2"/>
                  <c:y val="-7.9969557708632153E-3"/>
                </c:manualLayout>
              </c:layout>
              <c:numFmt formatCode="0.0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494855166086444E-2"/>
                  <c:y val="-8.55457658870708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539877300613498E-2"/>
                  <c:y val="-1.7601760176017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7792624265098879E-2"/>
                  <c:y val="-9.2936802973977699E-3"/>
                </c:manualLayout>
              </c:layout>
              <c:numFmt formatCode="0.00" sourceLinked="0"/>
              <c:spPr>
                <a:noFill/>
                <a:ln w="25401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  <c:pt idx="6">
                  <c:v>2016 год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58</c:v>
                </c:pt>
                <c:pt idx="1">
                  <c:v>93.8</c:v>
                </c:pt>
                <c:pt idx="2" formatCode="0.0">
                  <c:v>61.1</c:v>
                </c:pt>
                <c:pt idx="3">
                  <c:v>47.8</c:v>
                </c:pt>
                <c:pt idx="4">
                  <c:v>65.2</c:v>
                </c:pt>
                <c:pt idx="5">
                  <c:v>17.5</c:v>
                </c:pt>
                <c:pt idx="6">
                  <c:v>30.34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0110872"/>
        <c:axId val="240111264"/>
        <c:axId val="0"/>
      </c:bar3DChart>
      <c:catAx>
        <c:axId val="240110872"/>
        <c:scaling>
          <c:orientation val="minMax"/>
        </c:scaling>
        <c:delete val="0"/>
        <c:axPos val="b"/>
        <c:numFmt formatCode="_-* #,##0.00\р._-;\-* #,##0.00\р._-;_-* &quot;-&quot;??\р._-;_-@_-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11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111264"/>
        <c:scaling>
          <c:orientation val="minMax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кв. м</a:t>
                </a:r>
              </a:p>
            </c:rich>
          </c:tx>
          <c:layout>
            <c:manualLayout>
              <c:xMode val="edge"/>
              <c:yMode val="edge"/>
              <c:x val="1.7456483583723813E-3"/>
              <c:y val="0.3397292170161898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10872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11128042185533864"/>
          <c:y val="0.86685595527324888"/>
          <c:w val="0.83993902439024393"/>
          <c:h val="0.105263157894736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011594288287459E-2"/>
          <c:y val="6.4381591562799614E-2"/>
          <c:w val="0.93416927899686519"/>
          <c:h val="0.78571428571428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доходы, всего за год</c:v>
                </c:pt>
              </c:strCache>
            </c:strRef>
          </c:tx>
          <c:dPt>
            <c:idx val="0"/>
            <c:marker>
              <c:symbol val="diamond"/>
              <c:size val="10"/>
            </c:marker>
            <c:bubble3D val="0"/>
            <c:spPr>
              <a:ln w="43517">
                <a:solidFill>
                  <a:srgbClr val="FF0000"/>
                </a:solidFill>
                <a:prstDash val="solid"/>
              </a:ln>
            </c:spPr>
          </c:dPt>
          <c:dPt>
            <c:idx val="1"/>
            <c:marker>
              <c:symbol val="diamond"/>
              <c:size val="10"/>
            </c:marker>
            <c:bubble3D val="0"/>
            <c:spPr>
              <a:ln w="43517">
                <a:solidFill>
                  <a:srgbClr val="FF0000"/>
                </a:solidFill>
                <a:prstDash val="solid"/>
              </a:ln>
            </c:spPr>
          </c:dPt>
          <c:dPt>
            <c:idx val="2"/>
            <c:marker>
              <c:symbol val="diamond"/>
              <c:size val="10"/>
            </c:marker>
            <c:bubble3D val="0"/>
            <c:spPr>
              <a:ln w="43517">
                <a:solidFill>
                  <a:srgbClr val="FF0000"/>
                </a:solidFill>
                <a:prstDash val="solid"/>
              </a:ln>
            </c:spPr>
          </c:dPt>
          <c:dPt>
            <c:idx val="3"/>
            <c:marker>
              <c:symbol val="diamond"/>
              <c:size val="10"/>
            </c:marker>
            <c:bubble3D val="0"/>
            <c:spPr>
              <a:ln w="43517">
                <a:solidFill>
                  <a:srgbClr val="FF0000"/>
                </a:solidFill>
                <a:prstDash val="solid"/>
              </a:ln>
            </c:spPr>
          </c:dPt>
          <c:dLbls>
            <c:dLbl>
              <c:idx val="2"/>
              <c:numFmt formatCode="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 algn="ctr" rtl="0">
                    <a:defRPr sz="1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Mode val="edge"/>
                  <c:yMode val="edge"/>
                  <c:x val="0.65830721003134796"/>
                  <c:y val="0.92500000000000004"/>
                </c:manualLayout>
              </c:layout>
              <c:numFmt formatCode="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 algn="ctr" rtl="0">
                    <a:defRPr sz="1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numFmt formatCode="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 algn="ctr" rtl="0">
                    <a:defRPr sz="1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numFmt formatCode="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 algn="ctr" rtl="0">
                    <a:defRPr sz="171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90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 algn="ctr" rtl="0">
                  <a:defRPr sz="17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Лист1!$B$1:$O$1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 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 2016 год</c:v>
                </c:pt>
              </c:strCache>
            </c:strRef>
          </c:cat>
          <c:val>
            <c:numRef>
              <c:f>Лист1!$B$2:$O$2</c:f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доходы, всего за год</c:v>
                </c:pt>
              </c:strCache>
            </c:strRef>
          </c:tx>
          <c:spPr>
            <a:ln w="43517">
              <a:solidFill>
                <a:srgbClr val="008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3736348830260456E-2"/>
                  <c:y val="6.2484429379213502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8401587428508899E-2"/>
                  <c:y val="-8.0725647549089924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9620944629382578E-2"/>
                  <c:y val="-6.5332437472161622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834788756696778E-2"/>
                  <c:y val="-9.5038874857623926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2296721194190649E-2"/>
                  <c:y val="6.9845986232852972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6425087430613127E-2"/>
                  <c:y val="-8.5533855247959797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6.8412613575628001E-2"/>
                  <c:y val="0.119064809206541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5213675213675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7.9746156730408704E-2"/>
                </c:manualLayout>
              </c:layout>
              <c:numFmt formatCode="#,##0.0" sourceLinked="0"/>
              <c:spPr>
                <a:noFill/>
                <a:ln w="29012">
                  <a:noFill/>
                </a:ln>
              </c:spPr>
              <c:txPr>
                <a:bodyPr/>
                <a:lstStyle/>
                <a:p>
                  <a:pPr>
                    <a:defRPr sz="125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901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Лист1!$B$1:$O$1</c:f>
              <c:strCache>
                <c:ptCount val="8"/>
                <c:pt idx="0">
                  <c:v> 2009 год</c:v>
                </c:pt>
                <c:pt idx="1">
                  <c:v> 2010 год</c:v>
                </c:pt>
                <c:pt idx="2">
                  <c:v> 2011 год</c:v>
                </c:pt>
                <c:pt idx="3">
                  <c:v> 2012 год</c:v>
                </c:pt>
                <c:pt idx="4">
                  <c:v> 2013 год</c:v>
                </c:pt>
                <c:pt idx="5">
                  <c:v> 2014 год</c:v>
                </c:pt>
                <c:pt idx="6">
                  <c:v> 2015 год</c:v>
                </c:pt>
                <c:pt idx="7">
                  <c:v> 2016 год</c:v>
                </c:pt>
              </c:strCache>
            </c:strRef>
          </c:cat>
          <c:val>
            <c:numRef>
              <c:f>Лист1!$B$3:$O$3</c:f>
              <c:numCache>
                <c:formatCode>0.0</c:formatCode>
                <c:ptCount val="8"/>
                <c:pt idx="0">
                  <c:v>12802.2</c:v>
                </c:pt>
                <c:pt idx="1">
                  <c:v>14699.1</c:v>
                </c:pt>
                <c:pt idx="2">
                  <c:v>18222.400000000001</c:v>
                </c:pt>
                <c:pt idx="3">
                  <c:v>16609.8</c:v>
                </c:pt>
                <c:pt idx="4">
                  <c:v>15431.6</c:v>
                </c:pt>
                <c:pt idx="5">
                  <c:v>17895.400000000001</c:v>
                </c:pt>
                <c:pt idx="6">
                  <c:v>17821.099999999999</c:v>
                </c:pt>
                <c:pt idx="7">
                  <c:v>17062.2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112048"/>
        <c:axId val="240112440"/>
      </c:lineChart>
      <c:catAx>
        <c:axId val="24011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6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12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112440"/>
        <c:scaling>
          <c:orientation val="minMax"/>
          <c:min val="800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6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12048"/>
        <c:crosses val="autoZero"/>
        <c:crossBetween val="between"/>
      </c:valAx>
      <c:spPr>
        <a:noFill/>
        <a:ln w="2901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доходов бюджета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города Кемерово, млн. рублей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4961220472440945"/>
          <c:y val="8.613696015271128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000000000000001E-2"/>
          <c:y val="0.30475604932945027"/>
          <c:w val="0.96458333333333335"/>
          <c:h val="0.679798775153105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бюджета города Кемерово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50DDABA-8FF0-4BA8-92AC-3F8C4F069A2B}" type="CELLRANGE">
                      <a:rPr lang="en-US" sz="1100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[ДИАПАЗОН ЯЧЕЕК]</a:t>
                    </a:fld>
                    <a:r>
                      <a:rPr lang="en-US" sz="1100" baseline="0">
                        <a:solidFill>
                          <a:sysClr val="windowText" lastClr="000000"/>
                        </a:solidFill>
                      </a:rPr>
                      <a:t> </a:t>
                    </a:r>
                    <a:fld id="{85E0D382-83DA-4F29-9935-EC2DC7F8A851}" type="PERCENTAGE">
                      <a:rPr lang="en-US" sz="1100" baseline="0">
                        <a:solidFill>
                          <a:sysClr val="windowText" lastClr="000000"/>
                        </a:solidFill>
                      </a:rPr>
                      <a:pPr>
                        <a:defRPr sz="11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en-US" sz="11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numFmt formatCode="0.0%" sourceLinked="0"/>
              <c:spPr>
                <a:solidFill>
                  <a:schemeClr val="lt1"/>
                </a:solidFill>
                <a:ln>
                  <a:solidFill>
                    <a:sysClr val="window" lastClr="FFFFFF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6.9444444444444441E-3"/>
                  <c:y val="5.1587301587301515E-2"/>
                </c:manualLayout>
              </c:layout>
              <c:tx>
                <c:rich>
                  <a:bodyPr/>
                  <a:lstStyle/>
                  <a:p>
                    <a:fld id="{5D15FB93-DA58-4169-8E0F-E061F829ED6B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F4E6950B-4BFE-4AC8-861D-C807000492F8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8.5647965879265098E-2"/>
                  <c:y val="8.59329515628728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8FAFAFED-1329-4776-8C67-C69B83440AD7}" type="CELLRANGE">
                      <a:rPr lang="ru-RU" baseline="0"/>
                      <a:pPr>
                        <a:defRPr sz="110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[ДИАПАЗОН ЯЧЕЕК]</a:t>
                    </a:fld>
                    <a:r>
                      <a:rPr lang="ru-RU" baseline="0"/>
                      <a:t> 8,7%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953707349081367"/>
                      <c:h val="0.18308279646862324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6.550918635170605E-2"/>
                  <c:y val="-3.3188976377952803E-2"/>
                </c:manualLayout>
              </c:layout>
              <c:tx>
                <c:rich>
                  <a:bodyPr/>
                  <a:lstStyle/>
                  <a:p>
                    <a:fld id="{585AD629-4B73-4F27-AEBF-C95B231D34E8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928A0804-446C-4EC4-8748-BF568DA80749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5.3935203412073487E-2"/>
                  <c:y val="-3.5353535353535352E-2"/>
                </c:manualLayout>
              </c:layout>
              <c:tx>
                <c:rich>
                  <a:bodyPr/>
                  <a:lstStyle/>
                  <a:p>
                    <a:fld id="{D09D7902-E3AB-4A7A-AD36-9C854883C21D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9CC122BB-3152-4F05-96FB-0E827D2D10BE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0.25856479658792636"/>
                  <c:y val="4.0933746917998913E-2"/>
                </c:manualLayout>
              </c:layout>
              <c:tx>
                <c:rich>
                  <a:bodyPr/>
                  <a:lstStyle/>
                  <a:p>
                    <a:fld id="{E10ECA4C-7C10-427A-B2AB-92CB3749221A}" type="CELLRANGE">
                      <a:rPr lang="en-US" baseline="0"/>
                      <a:pPr/>
                      <a:t>[ДИАПАЗОН ЯЧЕЕК]</a:t>
                    </a:fld>
                    <a:r>
                      <a:rPr lang="en-US" baseline="0"/>
                      <a:t> </a:t>
                    </a:r>
                    <a:fld id="{2E7DE203-8A83-4A84-A983-0B2C03DC8F0C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Земельный налог</c:v>
                </c:pt>
                <c:pt idx="2">
                  <c:v>Единый налог на вмененный доход</c:v>
                </c:pt>
                <c:pt idx="3">
                  <c:v>Гос.пошлина</c:v>
                </c:pt>
                <c:pt idx="4">
                  <c:v>Прочие</c:v>
                </c:pt>
                <c:pt idx="5">
                  <c:v>Патентная система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2584.6999999999998</c:v>
                </c:pt>
                <c:pt idx="1">
                  <c:v>824</c:v>
                </c:pt>
                <c:pt idx="2">
                  <c:v>360.7</c:v>
                </c:pt>
                <c:pt idx="3">
                  <c:v>159.9</c:v>
                </c:pt>
                <c:pt idx="4">
                  <c:v>147.20000000000059</c:v>
                </c:pt>
                <c:pt idx="5">
                  <c:v>43.6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Лист1!$A$2:$A$7</c15:f>
                <c15:dlblRangeCache>
                  <c:ptCount val="6"/>
                  <c:pt idx="0">
                    <c:v>НДФЛ</c:v>
                  </c:pt>
                  <c:pt idx="1">
                    <c:v>Земельный налог</c:v>
                  </c:pt>
                  <c:pt idx="2">
                    <c:v>Единый налог на вмененный доход</c:v>
                  </c:pt>
                  <c:pt idx="3">
                    <c:v>Гос.пошлина</c:v>
                  </c:pt>
                  <c:pt idx="4">
                    <c:v>Прочие</c:v>
                  </c:pt>
                  <c:pt idx="5">
                    <c:v>Патентная система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461083869819987E-2"/>
          <c:y val="4.911799326988063E-2"/>
          <c:w val="0.93691830403309206"/>
          <c:h val="0.8629936680191597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'для графика'!$B$1</c:f>
              <c:strCache>
                <c:ptCount val="1"/>
                <c:pt idx="0">
                  <c:v>1 пол-е 2007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графика'!$B$2:$B$23</c:f>
            </c:numRef>
          </c:val>
        </c:ser>
        <c:ser>
          <c:idx val="1"/>
          <c:order val="1"/>
          <c:tx>
            <c:strRef>
              <c:f>'для графика'!$C$1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графика'!$C$2:$C$23</c:f>
            </c:numRef>
          </c:val>
        </c:ser>
        <c:ser>
          <c:idx val="2"/>
          <c:order val="2"/>
          <c:tx>
            <c:strRef>
              <c:f>'для графика'!$D$1</c:f>
              <c:strCache>
                <c:ptCount val="1"/>
                <c:pt idx="0">
                  <c:v>1 пол-е 2008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графика'!$D$2:$D$23</c:f>
            </c:numRef>
          </c:val>
        </c:ser>
        <c:ser>
          <c:idx val="7"/>
          <c:order val="3"/>
          <c:tx>
            <c:strRef>
              <c:f>'для графика'!$E$1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графика'!$E$2:$E$23</c:f>
            </c:numRef>
          </c:val>
        </c:ser>
        <c:ser>
          <c:idx val="3"/>
          <c:order val="4"/>
          <c:tx>
            <c:strRef>
              <c:f>'для графика'!$F$1</c:f>
              <c:strCache>
                <c:ptCount val="1"/>
                <c:pt idx="0">
                  <c:v>1 пол-е 2009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графика'!$F$2:$F$23</c:f>
            </c:numRef>
          </c:val>
        </c:ser>
        <c:ser>
          <c:idx val="4"/>
          <c:order val="5"/>
          <c:tx>
            <c:strRef>
              <c:f>'для графика'!$G$1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графика'!$G$2:$G$23</c:f>
            </c:numRef>
          </c:val>
        </c:ser>
        <c:ser>
          <c:idx val="5"/>
          <c:order val="6"/>
          <c:tx>
            <c:strRef>
              <c:f>'для графика'!$H$1</c:f>
              <c:strCache>
                <c:ptCount val="1"/>
                <c:pt idx="0">
                  <c:v>1 пол-е 2010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графика'!$H$2:$H$23</c:f>
            </c:numRef>
          </c:val>
        </c:ser>
        <c:ser>
          <c:idx val="6"/>
          <c:order val="7"/>
          <c:tx>
            <c:strRef>
              <c:f>'для графика'!$I$1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графика'!$I$2:$I$23</c:f>
            </c:numRef>
          </c:val>
        </c:ser>
        <c:ser>
          <c:idx val="8"/>
          <c:order val="8"/>
          <c:tx>
            <c:strRef>
              <c:f>'для графика'!$J$1</c:f>
              <c:strCache>
                <c:ptCount val="1"/>
                <c:pt idx="0">
                  <c:v>1 пол-е 2011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графика'!$J$2:$J$23</c:f>
            </c:numRef>
          </c:val>
        </c:ser>
        <c:ser>
          <c:idx val="9"/>
          <c:order val="9"/>
          <c:tx>
            <c:strRef>
              <c:f>'для графика'!$K$1</c:f>
              <c:strCache>
                <c:ptCount val="1"/>
              </c:strCache>
            </c:strRef>
          </c:tx>
          <c:spPr>
            <a:solidFill>
              <a:srgbClr val="CC99FF"/>
            </a:solidFill>
            <a:ln w="21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графика'!$K$2:$K$23</c:f>
            </c:numRef>
          </c:val>
        </c:ser>
        <c:ser>
          <c:idx val="10"/>
          <c:order val="10"/>
          <c:tx>
            <c:strRef>
              <c:f>'для графика'!$L$1</c:f>
              <c:strCache>
                <c:ptCount val="1"/>
                <c:pt idx="0">
                  <c:v>1 пол-е 2012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графика'!$L$2:$L$23</c:f>
            </c:numRef>
          </c:val>
        </c:ser>
        <c:ser>
          <c:idx val="11"/>
          <c:order val="11"/>
          <c:tx>
            <c:strRef>
              <c:f>'для графика'!$M$1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графика'!$M$2:$M$23</c:f>
            </c:numRef>
          </c:val>
        </c:ser>
        <c:ser>
          <c:idx val="12"/>
          <c:order val="12"/>
          <c:tx>
            <c:strRef>
              <c:f>'для графика'!$N$1</c:f>
              <c:strCache>
                <c:ptCount val="1"/>
                <c:pt idx="0">
                  <c:v>1 пол-е 2013</c:v>
                </c:pt>
              </c:strCache>
            </c:strRef>
          </c:tx>
          <c:spPr>
            <a:solidFill>
              <a:srgbClr val="0000FF"/>
            </a:solidFill>
            <a:ln w="21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графика'!$N$2:$N$23</c:f>
            </c:numRef>
          </c:val>
        </c:ser>
        <c:ser>
          <c:idx val="18"/>
          <c:order val="13"/>
          <c:tx>
            <c:strRef>
              <c:f>'для графика'!$O$1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графика'!$O$2:$O$23</c:f>
            </c:numRef>
          </c:val>
        </c:ser>
        <c:ser>
          <c:idx val="19"/>
          <c:order val="14"/>
          <c:tx>
            <c:strRef>
              <c:f>'для графика'!$P$1</c:f>
              <c:strCache>
                <c:ptCount val="1"/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графика'!$P$2:$P$23</c:f>
            </c:numRef>
          </c:val>
        </c:ser>
        <c:ser>
          <c:idx val="21"/>
          <c:order val="15"/>
          <c:tx>
            <c:strRef>
              <c:f>'для графика'!$Q$1</c:f>
              <c:strCache>
                <c:ptCount val="1"/>
                <c:pt idx="0">
                  <c:v>1 полугодие 2007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графика'!$Q$2:$Q$23</c:f>
            </c:numRef>
          </c:val>
        </c:ser>
        <c:ser>
          <c:idx val="13"/>
          <c:order val="16"/>
          <c:tx>
            <c:strRef>
              <c:f>'для графика'!$R$1</c:f>
              <c:strCache>
                <c:ptCount val="1"/>
                <c:pt idx="0">
                  <c:v>1 полугодие 2008 года</c:v>
                </c:pt>
              </c:strCache>
            </c:strRef>
          </c:tx>
          <c:spPr>
            <a:solidFill>
              <a:srgbClr val="FF6600"/>
            </a:solidFill>
            <a:ln w="21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графика'!$R$2:$R$23</c:f>
            </c:numRef>
          </c:val>
        </c:ser>
        <c:ser>
          <c:idx val="14"/>
          <c:order val="17"/>
          <c:tx>
            <c:strRef>
              <c:f>'для графика'!$S$1</c:f>
              <c:strCache>
                <c:ptCount val="1"/>
                <c:pt idx="0">
                  <c:v>1 полугодие 2009 года</c:v>
                </c:pt>
              </c:strCache>
            </c:strRef>
          </c:tx>
          <c:spPr>
            <a:solidFill>
              <a:srgbClr val="FFFF99"/>
            </a:solidFill>
            <a:ln w="21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графика'!$S$2:$S$23</c:f>
            </c:numRef>
          </c:val>
        </c:ser>
        <c:ser>
          <c:idx val="15"/>
          <c:order val="18"/>
          <c:tx>
            <c:strRef>
              <c:f>'для графика'!$T$1</c:f>
              <c:strCache>
                <c:ptCount val="1"/>
                <c:pt idx="0">
                  <c:v>1 полугодие 2010 года</c:v>
                </c:pt>
              </c:strCache>
            </c:strRef>
          </c:tx>
          <c:spPr>
            <a:solidFill>
              <a:srgbClr val="00FFFF"/>
            </a:solidFill>
            <a:ln w="21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графика'!$T$2:$T$23</c:f>
            </c:numRef>
          </c:val>
        </c:ser>
        <c:ser>
          <c:idx val="20"/>
          <c:order val="19"/>
          <c:tx>
            <c:strRef>
              <c:f>'для графика'!$U$1</c:f>
              <c:strCache>
                <c:ptCount val="1"/>
                <c:pt idx="0">
                  <c:v>1 полугодие 2011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графика'!$U$2:$U$23</c:f>
            </c:numRef>
          </c:val>
        </c:ser>
        <c:ser>
          <c:idx val="16"/>
          <c:order val="20"/>
          <c:tx>
            <c:strRef>
              <c:f>'для графика'!$V$1</c:f>
              <c:strCache>
                <c:ptCount val="1"/>
                <c:pt idx="0">
                  <c:v>1 полугодие 2012 года</c:v>
                </c:pt>
              </c:strCache>
            </c:strRef>
          </c:tx>
          <c:spPr>
            <a:solidFill>
              <a:srgbClr val="00CCFF"/>
            </a:solidFill>
            <a:ln w="84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графика'!$V$2:$V$23</c:f>
            </c:numRef>
          </c:val>
        </c:ser>
        <c:ser>
          <c:idx val="17"/>
          <c:order val="21"/>
          <c:tx>
            <c:strRef>
              <c:f>'для графика'!$W$1</c:f>
              <c:strCache>
                <c:ptCount val="1"/>
                <c:pt idx="0">
                  <c:v>1 квартал 2014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графика'!$W$2:$W$23</c:f>
            </c:numRef>
          </c:val>
        </c:ser>
        <c:ser>
          <c:idx val="22"/>
          <c:order val="22"/>
          <c:tx>
            <c:strRef>
              <c:f>'для графика'!$X$1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7.838854750421717E-17"/>
                  <c:y val="9.79192166462668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4136825227151259E-3"/>
                  <c:y val="-8.97582450308386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136825227151259E-3"/>
                  <c:y val="1.4687882496940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27578834847675E-3"/>
                  <c:y val="1.4687882496940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136825227151259E-3"/>
                  <c:y val="-2.243956125770965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графика'!$X$2:$X$23</c:f>
              <c:numCache>
                <c:formatCode>0.0</c:formatCode>
                <c:ptCount val="6"/>
                <c:pt idx="0">
                  <c:v>861.72540000000004</c:v>
                </c:pt>
                <c:pt idx="1">
                  <c:v>57.733899999999998</c:v>
                </c:pt>
                <c:pt idx="2">
                  <c:v>2112.3793000000001</c:v>
                </c:pt>
                <c:pt idx="3">
                  <c:v>4314.7344000000003</c:v>
                </c:pt>
                <c:pt idx="4">
                  <c:v>11863.863300000001</c:v>
                </c:pt>
                <c:pt idx="5">
                  <c:v>64.275999999999996</c:v>
                </c:pt>
              </c:numCache>
            </c:numRef>
          </c:val>
        </c:ser>
        <c:ser>
          <c:idx val="23"/>
          <c:order val="23"/>
          <c:tx>
            <c:strRef>
              <c:f>'для графика'!$Y$1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9.79192166462677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136825227151259E-3"/>
                  <c:y val="-1.4687882496940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4687882496940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622884726261167E-2"/>
                  <c:y val="-4.8959608323133418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51576696953422E-3"/>
                  <c:y val="-2.937576499388005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графика'!$A$2:$A$23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сфера</c:v>
                </c:pt>
                <c:pt idx="5">
                  <c:v>Прочие расходы</c:v>
                </c:pt>
              </c:strCache>
            </c:strRef>
          </c:cat>
          <c:val>
            <c:numRef>
              <c:f>'для графика'!$Y$2:$Y$23</c:f>
              <c:numCache>
                <c:formatCode>0.0</c:formatCode>
                <c:ptCount val="6"/>
                <c:pt idx="0">
                  <c:v>896.66489999999999</c:v>
                </c:pt>
                <c:pt idx="1">
                  <c:v>44.608899999999998</c:v>
                </c:pt>
                <c:pt idx="2">
                  <c:v>2643.3335000000002</c:v>
                </c:pt>
                <c:pt idx="3">
                  <c:v>2295.4765000000002</c:v>
                </c:pt>
                <c:pt idx="4">
                  <c:v>11906.948400000001</c:v>
                </c:pt>
                <c:pt idx="5">
                  <c:v>156.78960000000001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0113224"/>
        <c:axId val="240113616"/>
      </c:barChart>
      <c:catAx>
        <c:axId val="2401132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100"/>
            </a:pPr>
            <a:endParaRPr lang="ru-RU"/>
          </a:p>
        </c:txPr>
        <c:crossAx val="240113616"/>
        <c:crossesAt val="0"/>
        <c:auto val="0"/>
        <c:lblAlgn val="ctr"/>
        <c:lblOffset val="0"/>
        <c:noMultiLvlLbl val="0"/>
      </c:catAx>
      <c:valAx>
        <c:axId val="240113616"/>
        <c:scaling>
          <c:orientation val="minMax"/>
        </c:scaling>
        <c:delete val="0"/>
        <c:axPos val="b"/>
        <c:majorGridlines>
          <c:spPr>
            <a:ln w="2100">
              <a:solidFill>
                <a:srgbClr val="FFFFFF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2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0113224"/>
        <c:crosses val="autoZero"/>
        <c:crossBetween val="between"/>
        <c:minorUnit val="17.862599999999997"/>
      </c:valAx>
      <c:spPr>
        <a:solidFill>
          <a:srgbClr val="FFFFFF"/>
        </a:solidFill>
        <a:ln w="16799">
          <a:noFill/>
        </a:ln>
      </c:spPr>
    </c:plotArea>
    <c:legend>
      <c:legendPos val="r"/>
      <c:layout>
        <c:manualLayout>
          <c:xMode val="edge"/>
          <c:yMode val="edge"/>
          <c:x val="0.70248323983553373"/>
          <c:y val="0.64048689752214261"/>
          <c:w val="0.26069902405972639"/>
          <c:h val="0.1768236008442641"/>
        </c:manualLayout>
      </c:layout>
      <c:overlay val="0"/>
      <c:spPr>
        <a:solidFill>
          <a:srgbClr val="FFFFFF"/>
        </a:solidFill>
        <a:ln w="2100">
          <a:solidFill>
            <a:srgbClr val="000000"/>
          </a:solidFill>
          <a:prstDash val="solid"/>
        </a:ln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0" i="0" u="none" strike="noStrike" baseline="0">
          <a:solidFill>
            <a:sysClr val="windowText" lastClr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Индекс строительных работ</a:t>
            </a:r>
          </a:p>
        </c:rich>
      </c:tx>
      <c:layout>
        <c:manualLayout>
          <c:xMode val="edge"/>
          <c:yMode val="edge"/>
          <c:x val="2.7230042398546334E-2"/>
          <c:y val="5.08556354313578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025641025641026E-2"/>
          <c:y val="0.26066018397446511"/>
          <c:w val="0.90974358974358971"/>
          <c:h val="0.42426727115963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FE5A1C2-150B-4E92-B759-0E1B7A347C1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6464293064416623E-2"/>
                  <c:y val="0"/>
                </c:manualLayout>
              </c:layout>
              <c:tx>
                <c:rich>
                  <a:bodyPr/>
                  <a:lstStyle/>
                  <a:p>
                    <a:fld id="{ECFF76FF-063A-4A4A-AC43-76FD89D69A1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Строительные работы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92.9</c:v>
                </c:pt>
                <c:pt idx="1">
                  <c:v>101.6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F1D7709-4721-4605-A396-D1E8B7062F9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292858612883294E-2"/>
                  <c:y val="0"/>
                </c:manualLayout>
              </c:layout>
              <c:tx>
                <c:rich>
                  <a:bodyPr/>
                  <a:lstStyle/>
                  <a:p>
                    <a:fld id="{B1038389-B0A3-4963-AA4A-AF40D2EDE4D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Строительные работы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81.099999999999994</c:v>
                </c:pt>
                <c:pt idx="1">
                  <c:v>111.6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9526240"/>
        <c:axId val="319527416"/>
      </c:barChart>
      <c:catAx>
        <c:axId val="31952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527416"/>
        <c:crosses val="autoZero"/>
        <c:auto val="1"/>
        <c:lblAlgn val="r"/>
        <c:lblOffset val="100"/>
        <c:noMultiLvlLbl val="0"/>
      </c:catAx>
      <c:valAx>
        <c:axId val="319527416"/>
        <c:scaling>
          <c:orientation val="minMax"/>
        </c:scaling>
        <c:delete val="1"/>
        <c:axPos val="r"/>
        <c:numFmt formatCode="0.0" sourceLinked="1"/>
        <c:majorTickMark val="none"/>
        <c:minorTickMark val="none"/>
        <c:tickLblPos val="nextTo"/>
        <c:crossAx val="31952624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978594798514972E-2"/>
          <c:y val="0.78617219479689382"/>
          <c:w val="0.96572937613567522"/>
          <c:h val="0.15409888484751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Объем инвестиций в основной капитал, млрд. руб.</a:t>
            </a:r>
          </a:p>
        </c:rich>
      </c:tx>
      <c:layout>
        <c:manualLayout>
          <c:xMode val="edge"/>
          <c:yMode val="edge"/>
          <c:x val="0.15961678385591799"/>
          <c:y val="1.10241775333638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636239914455138"/>
          <c:w val="0.99206505340361983"/>
          <c:h val="0.500166191016515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dLbls>
            <c:dLbl>
              <c:idx val="1"/>
              <c:layout>
                <c:manualLayout>
                  <c:x val="3.7044659394937153E-2"/>
                  <c:y val="-1.8779342723004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целом по городу</c:v>
                </c:pt>
                <c:pt idx="1">
                  <c:v>по крупным и средним предприятиям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33.200000000000003</c:v>
                </c:pt>
                <c:pt idx="1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4.9392879193249639E-2"/>
                  <c:y val="-6.259780907668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044659394937382E-2"/>
                  <c:y val="-1.251956181533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 целом по городу</c:v>
                </c:pt>
                <c:pt idx="1">
                  <c:v>по крупным и средним предприятиям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30.3</c:v>
                </c:pt>
                <c:pt idx="1">
                  <c:v>16.5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9525848"/>
        <c:axId val="319525456"/>
        <c:axId val="0"/>
      </c:bar3DChart>
      <c:catAx>
        <c:axId val="319525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525456"/>
        <c:crosses val="autoZero"/>
        <c:auto val="1"/>
        <c:lblAlgn val="ctr"/>
        <c:lblOffset val="100"/>
        <c:tickMarkSkip val="1"/>
        <c:noMultiLvlLbl val="1"/>
      </c:catAx>
      <c:valAx>
        <c:axId val="3195254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19525848"/>
        <c:crossesAt val="0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251466148538381E-2"/>
          <c:y val="0.91723590106792208"/>
          <c:w val="0.89799398145822429"/>
          <c:h val="7.58260772958935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сопоставимых ценах к предыдущему году</a:t>
            </a:r>
          </a:p>
        </c:rich>
      </c:tx>
      <c:layout>
        <c:manualLayout>
          <c:xMode val="edge"/>
          <c:yMode val="edge"/>
          <c:x val="4.0441230090116111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025641025641026E-2"/>
          <c:y val="7.8742311057271683E-2"/>
          <c:w val="0.90974358974358971"/>
          <c:h val="0.55542364896695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2.4353120243531201E-2"/>
                </c:manualLayout>
              </c:layout>
              <c:tx>
                <c:rich>
                  <a:bodyPr/>
                  <a:lstStyle/>
                  <a:p>
                    <a:fld id="{FFE5A1C2-150B-4E92-B759-0E1B7A347C1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0580366330520683E-2"/>
                  <c:y val="0"/>
                </c:manualLayout>
              </c:layout>
              <c:tx>
                <c:rich>
                  <a:bodyPr/>
                  <a:lstStyle/>
                  <a:p>
                    <a:fld id="{ECFF76FF-063A-4A4A-AC43-76FD89D69A1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234821979831241E-2"/>
                  <c:y val="1.410934744268076E-2"/>
                </c:manualLayout>
              </c:layout>
              <c:tx>
                <c:rich>
                  <a:bodyPr/>
                  <a:lstStyle/>
                  <a:p>
                    <a:fld id="{240C41F0-26CA-4138-AC22-8DDB6028F6E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  <c:pt idx="2">
                  <c:v>Объем платных услуг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89.2</c:v>
                </c:pt>
                <c:pt idx="1">
                  <c:v>84.9</c:v>
                </c:pt>
                <c:pt idx="2">
                  <c:v>98.3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3.2928586128833093E-2"/>
                  <c:y val="6.0881278729047758E-3"/>
                </c:manualLayout>
              </c:layout>
              <c:tx>
                <c:rich>
                  <a:bodyPr/>
                  <a:lstStyle/>
                  <a:p>
                    <a:fld id="{FF1D7709-4721-4605-A396-D1E8B7062F9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2928586128833093E-2"/>
                  <c:y val="2.5102410143937458E-2"/>
                </c:manualLayout>
              </c:layout>
              <c:tx>
                <c:rich>
                  <a:bodyPr/>
                  <a:lstStyle/>
                  <a:p>
                    <a:fld id="{B1038389-B0A3-4963-AA4A-AF40D2EDE4D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2928586128833093E-2"/>
                  <c:y val="1.8264840182648401E-2"/>
                </c:manualLayout>
              </c:layout>
              <c:tx>
                <c:rich>
                  <a:bodyPr/>
                  <a:lstStyle/>
                  <a:p>
                    <a:fld id="{E46C1CA0-B3E9-4723-AD11-E1789D1E4FB6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  <c:pt idx="2">
                  <c:v>Объем платных услуг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87.3</c:v>
                </c:pt>
                <c:pt idx="1">
                  <c:v>100.8</c:v>
                </c:pt>
                <c:pt idx="2">
                  <c:v>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2107336"/>
        <c:axId val="252106944"/>
      </c:barChart>
      <c:catAx>
        <c:axId val="25210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106944"/>
        <c:crosses val="autoZero"/>
        <c:auto val="1"/>
        <c:lblAlgn val="r"/>
        <c:lblOffset val="100"/>
        <c:noMultiLvlLbl val="0"/>
      </c:catAx>
      <c:valAx>
        <c:axId val="252106944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25210733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442887862931519E-2"/>
          <c:y val="0.84341718823608602"/>
          <c:w val="0.96572937613567522"/>
          <c:h val="0.15409888484751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Индекс потребительских цен к</a:t>
            </a:r>
            <a:r>
              <a:rPr lang="ru-RU" sz="13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предыдущему месяцу, %</a:t>
            </a:r>
          </a:p>
        </c:rich>
      </c:tx>
      <c:layout>
        <c:manualLayout>
          <c:xMode val="edge"/>
          <c:yMode val="edge"/>
          <c:x val="0.11845605119487662"/>
          <c:y val="9.4214111560927979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025641025641026E-2"/>
          <c:y val="0.23754340803553403"/>
          <c:w val="0.90974358974358971"/>
          <c:h val="0.512648899656773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7608777163724094E-2"/>
                  <c:y val="-5.4798584959488757E-2"/>
                </c:manualLayout>
              </c:layout>
              <c:tx>
                <c:rich>
                  <a:bodyPr/>
                  <a:lstStyle/>
                  <a:p>
                    <a:fld id="{FFE5A1C2-150B-4E92-B759-0E1B7A347C10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7.7145584215021074E-2"/>
                  <c:y val="-9.79512713195115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7608777163724094E-2"/>
                  <c:y val="-8.05634802896014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7608777163724177E-2"/>
                  <c:y val="-4.8357361126960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7608777163724094E-2"/>
                  <c:y val="-4.1916137294432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июнь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103.1</c:v>
                </c:pt>
                <c:pt idx="1">
                  <c:v>100.8</c:v>
                </c:pt>
                <c:pt idx="2">
                  <c:v>100.4</c:v>
                </c:pt>
                <c:pt idx="3">
                  <c:v>100.8</c:v>
                </c:pt>
                <c:pt idx="4">
                  <c:v>100.8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0613097275883993"/>
                  <c:y val="6.6429305032523103E-2"/>
                </c:manualLayout>
              </c:layout>
              <c:tx>
                <c:rich>
                  <a:bodyPr/>
                  <a:lstStyle/>
                  <a:p>
                    <a:fld id="{FF1D7709-4721-4605-A396-D1E8B7062F96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1261657481125293E-2"/>
                  <c:y val="8.3448008085283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217391304347824E-2"/>
                  <c:y val="0.104669887278582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935817805383024E-2"/>
                  <c:y val="9.178743961352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3621232128592621E-2"/>
                  <c:y val="9.8228663446054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март</c:v>
                </c:pt>
                <c:pt idx="2">
                  <c:v>июнь</c:v>
                </c:pt>
                <c:pt idx="3">
                  <c:v>сентябрь</c:v>
                </c:pt>
                <c:pt idx="4">
                  <c:v>декабрь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100.8</c:v>
                </c:pt>
                <c:pt idx="1">
                  <c:v>100.5</c:v>
                </c:pt>
                <c:pt idx="2">
                  <c:v>100.4</c:v>
                </c:pt>
                <c:pt idx="3">
                  <c:v>100.2</c:v>
                </c:pt>
                <c:pt idx="4">
                  <c:v>100.1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106160"/>
        <c:axId val="252105768"/>
      </c:lineChart>
      <c:catAx>
        <c:axId val="25210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2105768"/>
        <c:crosses val="autoZero"/>
        <c:auto val="1"/>
        <c:lblAlgn val="r"/>
        <c:lblOffset val="100"/>
        <c:noMultiLvlLbl val="0"/>
      </c:catAx>
      <c:valAx>
        <c:axId val="252105768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25210616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438982289375984E-2"/>
          <c:y val="0.87490764162093948"/>
          <c:w val="0.93314031398249131"/>
          <c:h val="0.122372140030719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начисленная заработная плата, руб.</a:t>
            </a:r>
            <a:endParaRPr lang="ru-RU" sz="1300" b="1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845611323124487"/>
          <c:y val="9.4437956021047609E-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763077850502273E-2"/>
          <c:y val="0.29523573951161869"/>
          <c:w val="0.90793640504753736"/>
          <c:h val="0.48700787401574797"/>
        </c:manualLayout>
      </c:layout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2171337243843457"/>
                  <c:y val="0.211471104241943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334633117725322"/>
                  <c:y val="0.1189827481776978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686570661132824"/>
                  <c:y val="0.1214107437498693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8633552846276784E-2"/>
                  <c:y val="0.132245347647193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195854636130101"/>
                  <c:y val="0.141916602268217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7707749336858926E-2"/>
                  <c:y val="0.1551792017377138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620934338574317"/>
                  <c:y val="0.16181050147246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321253148351143"/>
                  <c:y val="0.148547902002965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471093743462733"/>
                  <c:y val="0.1286540027987217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1896173445906934"/>
                  <c:y val="0.1485479020029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1471093743462726"/>
                  <c:y val="0.14854790200296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9.311153321562754E-2"/>
                  <c:y val="0.141916602268217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5015940488841653E-3"/>
                  <c:y val="0.2413860982894379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252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mmm\-yy</c:formatCode>
                <c:ptCount val="13"/>
                <c:pt idx="0">
                  <c:v>42339</c:v>
                </c:pt>
                <c:pt idx="1">
                  <c:v>42370</c:v>
                </c:pt>
                <c:pt idx="2">
                  <c:v>42401</c:v>
                </c:pt>
                <c:pt idx="3">
                  <c:v>42430</c:v>
                </c:pt>
                <c:pt idx="4">
                  <c:v>42461</c:v>
                </c:pt>
                <c:pt idx="5">
                  <c:v>42491</c:v>
                </c:pt>
                <c:pt idx="6">
                  <c:v>42522</c:v>
                </c:pt>
                <c:pt idx="7">
                  <c:v>42552</c:v>
                </c:pt>
                <c:pt idx="8">
                  <c:v>42583</c:v>
                </c:pt>
                <c:pt idx="9">
                  <c:v>42614</c:v>
                </c:pt>
                <c:pt idx="10">
                  <c:v>42644</c:v>
                </c:pt>
                <c:pt idx="11">
                  <c:v>42675</c:v>
                </c:pt>
                <c:pt idx="12">
                  <c:v>42705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43449</c:v>
                </c:pt>
                <c:pt idx="1">
                  <c:v>33296</c:v>
                </c:pt>
                <c:pt idx="2">
                  <c:v>33277</c:v>
                </c:pt>
                <c:pt idx="3">
                  <c:v>34793</c:v>
                </c:pt>
                <c:pt idx="4">
                  <c:v>34430</c:v>
                </c:pt>
                <c:pt idx="5">
                  <c:v>37622</c:v>
                </c:pt>
                <c:pt idx="6">
                  <c:v>38801</c:v>
                </c:pt>
                <c:pt idx="7">
                  <c:v>34466.9</c:v>
                </c:pt>
                <c:pt idx="8">
                  <c:v>34216.199999999997</c:v>
                </c:pt>
                <c:pt idx="9">
                  <c:v>35418.1</c:v>
                </c:pt>
                <c:pt idx="10">
                  <c:v>35097.4</c:v>
                </c:pt>
                <c:pt idx="11">
                  <c:v>36124.5</c:v>
                </c:pt>
                <c:pt idx="12">
                  <c:v>48394.7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572328"/>
        <c:axId val="206202392"/>
      </c:lineChart>
      <c:catAx>
        <c:axId val="20457232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1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202392"/>
        <c:crosses val="autoZero"/>
        <c:auto val="0"/>
        <c:lblAlgn val="ctr"/>
        <c:lblOffset val="100"/>
        <c:tickLblSkip val="1"/>
        <c:noMultiLvlLbl val="0"/>
      </c:catAx>
      <c:valAx>
        <c:axId val="206202392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204572328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Зарегистрированный </a:t>
            </a:r>
          </a:p>
          <a:p>
            <a:pPr>
              <a:defRPr/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рынок труда</a:t>
            </a:r>
          </a:p>
          <a:p>
            <a:pPr>
              <a:defRPr/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(на конец отчетного месяца)</a:t>
            </a:r>
          </a:p>
        </c:rich>
      </c:tx>
      <c:layout>
        <c:manualLayout>
          <c:xMode val="edge"/>
          <c:yMode val="edge"/>
          <c:x val="0.1889760528488852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417010734929812E-2"/>
          <c:y val="0.33292307692307693"/>
          <c:w val="0.90916597853014036"/>
          <c:h val="0.35631792179823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2805581383251947E-2"/>
                  <c:y val="9.923925312444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432128064916777E-2"/>
                  <c:y val="0.105689690343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8447563996696945E-2"/>
                  <c:y val="0.100792841309344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18744838976131E-2"/>
                  <c:y val="5.2788271932329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008257638315442"/>
                      <c:h val="9.562420082105120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4318744838976047E-2"/>
                  <c:y val="0.107063223314702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42339</c:v>
                </c:pt>
                <c:pt idx="1">
                  <c:v>42430</c:v>
                </c:pt>
                <c:pt idx="2">
                  <c:v>42522</c:v>
                </c:pt>
                <c:pt idx="3">
                  <c:v>42614</c:v>
                </c:pt>
                <c:pt idx="4">
                  <c:v>42705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4882</c:v>
                </c:pt>
                <c:pt idx="1">
                  <c:v>5256</c:v>
                </c:pt>
                <c:pt idx="2">
                  <c:v>4969</c:v>
                </c:pt>
                <c:pt idx="3">
                  <c:v>4804</c:v>
                </c:pt>
                <c:pt idx="4">
                  <c:v>5315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1958880"/>
        <c:axId val="24007927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5857266396613712E-2"/>
                  <c:y val="-7.7833501581533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508846076321386E-2"/>
                  <c:y val="-7.1671579514099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159372419488024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4318744838976131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7803468208092637E-2"/>
                  <c:y val="-6.153846153846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mmm\-yy</c:formatCode>
                <c:ptCount val="5"/>
                <c:pt idx="0">
                  <c:v>42339</c:v>
                </c:pt>
                <c:pt idx="1">
                  <c:v>42430</c:v>
                </c:pt>
                <c:pt idx="2">
                  <c:v>42522</c:v>
                </c:pt>
                <c:pt idx="3">
                  <c:v>42614</c:v>
                </c:pt>
                <c:pt idx="4">
                  <c:v>42705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1.46</c:v>
                </c:pt>
                <c:pt idx="1">
                  <c:v>1.57</c:v>
                </c:pt>
                <c:pt idx="2">
                  <c:v>1.49</c:v>
                </c:pt>
                <c:pt idx="3">
                  <c:v>1.45</c:v>
                </c:pt>
                <c:pt idx="4">
                  <c:v>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73564888"/>
        <c:axId val="471119016"/>
      </c:lineChart>
      <c:catAx>
        <c:axId val="4719588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079272"/>
        <c:crosses val="autoZero"/>
        <c:auto val="0"/>
        <c:lblAlgn val="ctr"/>
        <c:lblOffset val="100"/>
        <c:noMultiLvlLbl val="0"/>
      </c:catAx>
      <c:valAx>
        <c:axId val="24007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958880"/>
        <c:crosses val="autoZero"/>
        <c:crossBetween val="between"/>
      </c:valAx>
      <c:valAx>
        <c:axId val="471119016"/>
        <c:scaling>
          <c:orientation val="minMax"/>
          <c:max val="2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564888"/>
        <c:crosses val="max"/>
        <c:crossBetween val="between"/>
      </c:valAx>
      <c:dateAx>
        <c:axId val="47356488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71119016"/>
        <c:crosses val="autoZero"/>
        <c:auto val="1"/>
        <c:lblOffset val="100"/>
        <c:baseTimeUnit val="months"/>
        <c:majorUnit val="1"/>
        <c:minorUnit val="1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205452642119159E-2"/>
          <c:y val="0.83418641900531665"/>
          <c:w val="0.97584640792733279"/>
          <c:h val="0.152138367319469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7051263167197633E-2"/>
          <c:y val="3.9077521167594616E-2"/>
          <c:w val="0.96541813085764061"/>
          <c:h val="0.717657782316959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Родилось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4266974498898094E-2"/>
                  <c:y val="4.74615359272560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464686745723577E-2"/>
                  <c:y val="6.41979376008960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2168118375485401E-2"/>
                  <c:y val="-0.10316607913550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94427536992339E-2"/>
                  <c:y val="7.5355538716656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99003043341456E-3"/>
                  <c:y val="4.7461535927255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Sheet1!$B$1:$I$1</c:f>
              <c:strCache>
                <c:ptCount val="8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 2014 г.</c:v>
                </c:pt>
                <c:pt idx="6">
                  <c:v>2015 г.</c:v>
                </c:pt>
                <c:pt idx="7">
                  <c:v>2016 г.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6482</c:v>
                </c:pt>
                <c:pt idx="1">
                  <c:v>6503</c:v>
                </c:pt>
                <c:pt idx="2">
                  <c:v>6284</c:v>
                </c:pt>
                <c:pt idx="3">
                  <c:v>6809</c:v>
                </c:pt>
                <c:pt idx="4">
                  <c:v>6674</c:v>
                </c:pt>
                <c:pt idx="5">
                  <c:v>6857</c:v>
                </c:pt>
                <c:pt idx="6">
                  <c:v>6964</c:v>
                </c:pt>
                <c:pt idx="7">
                  <c:v>6893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Умерло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round/>
              </a:ln>
              <a:effectLst/>
            </c:spPr>
          </c:marker>
          <c:dPt>
            <c:idx val="1"/>
            <c:marker>
              <c:symbol val="square"/>
              <c:size val="5"/>
              <c:spPr>
                <a:solidFill>
                  <a:schemeClr val="accent2"/>
                </a:solidFill>
                <a:ln w="9525" cap="flat" cmpd="sng" algn="ctr">
                  <a:solidFill>
                    <a:schemeClr val="accent2"/>
                  </a:solidFill>
                  <a:round/>
                </a:ln>
                <a:effectLst/>
              </c:spPr>
            </c:marker>
            <c:bubble3D val="0"/>
          </c:dPt>
          <c:dLbls>
            <c:dLbl>
              <c:idx val="5"/>
              <c:layout>
                <c:manualLayout>
                  <c:x val="-5.4990030433413788E-3"/>
                  <c:y val="6.4197937600896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001469199286391E-3"/>
                  <c:y val="6.9776738158776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858845315131562E-3"/>
                  <c:y val="4.7461535927255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errBars>
          <c:cat>
            <c:strRef>
              <c:f>Sheet1!$B$1:$I$1</c:f>
              <c:strCache>
                <c:ptCount val="8"/>
                <c:pt idx="0">
                  <c:v>2009 г.</c:v>
                </c:pt>
                <c:pt idx="1">
                  <c:v>2010 г.</c:v>
                </c:pt>
                <c:pt idx="2">
                  <c:v>2011 г.</c:v>
                </c:pt>
                <c:pt idx="3">
                  <c:v>2012 г.</c:v>
                </c:pt>
                <c:pt idx="4">
                  <c:v>2013 г.</c:v>
                </c:pt>
                <c:pt idx="5">
                  <c:v> 2014 г.</c:v>
                </c:pt>
                <c:pt idx="6">
                  <c:v>2015 г.</c:v>
                </c:pt>
                <c:pt idx="7">
                  <c:v>2016 г.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7037</c:v>
                </c:pt>
                <c:pt idx="1">
                  <c:v>7070</c:v>
                </c:pt>
                <c:pt idx="2">
                  <c:v>6887</c:v>
                </c:pt>
                <c:pt idx="3">
                  <c:v>6892</c:v>
                </c:pt>
                <c:pt idx="4">
                  <c:v>6803</c:v>
                </c:pt>
                <c:pt idx="5">
                  <c:v>6678</c:v>
                </c:pt>
                <c:pt idx="6">
                  <c:v>6662</c:v>
                </c:pt>
                <c:pt idx="7">
                  <c:v>6698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>
              <a:glow rad="50800">
                <a:schemeClr val="accent1">
                  <a:alpha val="40000"/>
                </a:schemeClr>
              </a:glow>
            </a:effectLst>
          </c:spPr>
        </c:dropLines>
        <c:smooth val="0"/>
        <c:axId val="240102248"/>
        <c:axId val="240102640"/>
      </c:lineChart>
      <c:catAx>
        <c:axId val="240102248"/>
        <c:scaling>
          <c:orientation val="minMax"/>
        </c:scaling>
        <c:delete val="0"/>
        <c:axPos val="b"/>
        <c:minorGridlines>
          <c:spPr>
            <a:ln>
              <a:solidFill>
                <a:schemeClr val="dk1">
                  <a:lumMod val="5000"/>
                  <a:lumOff val="95000"/>
                </a:schemeClr>
              </a:solidFill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102640"/>
        <c:crossesAt val="1200"/>
        <c:auto val="1"/>
        <c:lblAlgn val="ctr"/>
        <c:lblOffset val="100"/>
        <c:tickLblSkip val="1"/>
        <c:tickMarkSkip val="1"/>
        <c:noMultiLvlLbl val="0"/>
      </c:catAx>
      <c:valAx>
        <c:axId val="240102640"/>
        <c:scaling>
          <c:orientation val="minMax"/>
          <c:max val="7200"/>
          <c:min val="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23396226415094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102248"/>
        <c:crossesAt val="1"/>
        <c:crossBetween val="between"/>
        <c:majorUnit val="2000"/>
        <c:minorUnit val="500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72940488264726"/>
          <c:y val="0.88914655435512413"/>
          <c:w val="0.32264872337489453"/>
          <c:h val="0.10074259546008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>
      <a:outerShdw blurRad="50800" dist="50800" dir="72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Межотраслевая дифференциация уровня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среднемесячной заработной платы за 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2016 год, руб.</a:t>
            </a:r>
          </a:p>
        </c:rich>
      </c:tx>
      <c:layout>
        <c:manualLayout>
          <c:xMode val="edge"/>
          <c:yMode val="edge"/>
          <c:x val="0.1040339702760085"/>
          <c:y val="4.20711974110032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6082986441981377"/>
          <c:y val="0.20886850152905198"/>
          <c:w val="0.53917013558018623"/>
          <c:h val="0.757492354740061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-1.941747572815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5737704918032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4863387978140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0914288580169518E-2"/>
                  <c:y val="0"/>
                </c:manualLayout>
              </c:layout>
              <c:tx>
                <c:rich>
                  <a:bodyPr/>
                  <a:lstStyle/>
                  <a:p>
                    <a:fld id="{6F0FE611-6757-46C6-8F08-00B532E3C533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3.7158469945355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17180734573782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3903739739538851E-2"/>
                  <c:y val="-5.60645918885284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24590163934426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6.9945355191256831E-2"/>
                  <c:y val="-5.71125281855102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7.21311475409836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8.1688817560225432E-2"/>
                  <c:y val="2.966524522257085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2084507748633332"/>
                  <c:y val="-3.115172530039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Добыча полезных ископаемых</c:v>
                </c:pt>
                <c:pt idx="1">
                  <c:v>Финансовая деятельность</c:v>
                </c:pt>
                <c:pt idx="2">
                  <c:v>Госуправление и обеспечение военной безопасности</c:v>
                </c:pt>
                <c:pt idx="3">
                  <c:v>Электроэнергетика, распределение газа и воды</c:v>
                </c:pt>
                <c:pt idx="4">
                  <c:v>Производство машин и оборудования</c:v>
                </c:pt>
                <c:pt idx="5">
                  <c:v>Операции с недвижимостью</c:v>
                </c:pt>
                <c:pt idx="6">
                  <c:v>Химическое производство</c:v>
                </c:pt>
                <c:pt idx="7">
                  <c:v>Обрабатывающие производства</c:v>
                </c:pt>
                <c:pt idx="8">
                  <c:v>Транспорт и связь</c:v>
                </c:pt>
                <c:pt idx="9">
                  <c:v>Строительство</c:v>
                </c:pt>
                <c:pt idx="10">
                  <c:v>Оптовая и розничная торговля</c:v>
                </c:pt>
                <c:pt idx="11">
                  <c:v>Здравоохранение и соц.услуги</c:v>
                </c:pt>
                <c:pt idx="12">
                  <c:v>Прочие услуги</c:v>
                </c:pt>
                <c:pt idx="13">
                  <c:v>Образование </c:v>
                </c:pt>
                <c:pt idx="14">
                  <c:v>Сельское хозяйство </c:v>
                </c:pt>
                <c:pt idx="15">
                  <c:v>Гостиницы и рестораны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99277.2</c:v>
                </c:pt>
                <c:pt idx="1">
                  <c:v>59431.9</c:v>
                </c:pt>
                <c:pt idx="2">
                  <c:v>49340.9</c:v>
                </c:pt>
                <c:pt idx="3">
                  <c:v>48807.4</c:v>
                </c:pt>
                <c:pt idx="4">
                  <c:v>42183.8</c:v>
                </c:pt>
                <c:pt idx="5">
                  <c:v>38398.699999999997</c:v>
                </c:pt>
                <c:pt idx="6">
                  <c:v>37691.800000000003</c:v>
                </c:pt>
                <c:pt idx="7">
                  <c:v>34165.599999999999</c:v>
                </c:pt>
                <c:pt idx="8">
                  <c:v>31913.200000000001</c:v>
                </c:pt>
                <c:pt idx="9">
                  <c:v>31407.7</c:v>
                </c:pt>
                <c:pt idx="10">
                  <c:v>31208.799999999999</c:v>
                </c:pt>
                <c:pt idx="11">
                  <c:v>29202.799999999999</c:v>
                </c:pt>
                <c:pt idx="12">
                  <c:v>26443.200000000001</c:v>
                </c:pt>
                <c:pt idx="13" formatCode="0.0">
                  <c:v>26598</c:v>
                </c:pt>
                <c:pt idx="14">
                  <c:v>23933.9</c:v>
                </c:pt>
                <c:pt idx="15">
                  <c:v>15828.7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0103424"/>
        <c:axId val="240103816"/>
      </c:barChart>
      <c:catAx>
        <c:axId val="240103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0103816"/>
        <c:crosses val="autoZero"/>
        <c:auto val="1"/>
        <c:lblAlgn val="ctr"/>
        <c:lblOffset val="100"/>
        <c:noMultiLvlLbl val="0"/>
      </c:catAx>
      <c:valAx>
        <c:axId val="240103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010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0.76471</cdr:x>
      <cdr:y>0.29113</cdr:y>
    </cdr:from>
    <cdr:to>
      <cdr:x>0.76471</cdr:x>
      <cdr:y>0.77773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2367267" y="580294"/>
          <a:ext cx="0" cy="96992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0.68274</cdr:x>
      <cdr:y>0.14701</cdr:y>
    </cdr:from>
    <cdr:to>
      <cdr:x>0.87015</cdr:x>
      <cdr:y>0.2676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113502" y="293030"/>
          <a:ext cx="580151" cy="240368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102,0 %</a:t>
          </a:r>
          <a:endParaRPr lang="ru-RU" sz="110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0.62175</cdr:x>
      <cdr:y>0.15869</cdr:y>
    </cdr:from>
    <cdr:to>
      <cdr:x>0.62667</cdr:x>
      <cdr:y>0.96009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 flipV="1">
          <a:off x="3719122" y="622747"/>
          <a:ext cx="29430" cy="314493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9EC9-D187-448A-8006-C4ABD9A6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14075</TotalTime>
  <Pages>40</Pages>
  <Words>12159</Words>
  <Characters>69309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Econom17</cp:lastModifiedBy>
  <cp:revision>467</cp:revision>
  <cp:lastPrinted>2017-04-04T08:05:00Z</cp:lastPrinted>
  <dcterms:created xsi:type="dcterms:W3CDTF">2016-03-09T02:40:00Z</dcterms:created>
  <dcterms:modified xsi:type="dcterms:W3CDTF">2017-04-06T05:01:00Z</dcterms:modified>
</cp:coreProperties>
</file>