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39" w:rsidRDefault="00827D39">
      <w:pPr>
        <w:pStyle w:val="ConsPlusTitlePage"/>
      </w:pPr>
      <w:bookmarkStart w:id="0" w:name="_GoBack"/>
      <w:bookmarkEnd w:id="0"/>
      <w:r>
        <w:br/>
      </w:r>
    </w:p>
    <w:p w:rsidR="00827D39" w:rsidRDefault="00827D39">
      <w:pPr>
        <w:pStyle w:val="ConsPlusNormal"/>
        <w:jc w:val="both"/>
        <w:outlineLvl w:val="0"/>
      </w:pPr>
    </w:p>
    <w:p w:rsidR="00827D39" w:rsidRDefault="00827D39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827D39" w:rsidRDefault="00827D39">
      <w:pPr>
        <w:pStyle w:val="ConsPlusTitle"/>
        <w:jc w:val="center"/>
      </w:pPr>
      <w:r>
        <w:t>(шестой созыв, двадцать четвертое заседание)</w:t>
      </w:r>
    </w:p>
    <w:p w:rsidR="00827D39" w:rsidRDefault="00827D39">
      <w:pPr>
        <w:pStyle w:val="ConsPlusTitle"/>
        <w:jc w:val="center"/>
      </w:pPr>
    </w:p>
    <w:p w:rsidR="00827D39" w:rsidRDefault="00827D39">
      <w:pPr>
        <w:pStyle w:val="ConsPlusTitle"/>
        <w:jc w:val="center"/>
      </w:pPr>
      <w:r>
        <w:t>РЕШЕНИЕ</w:t>
      </w:r>
    </w:p>
    <w:p w:rsidR="00827D39" w:rsidRDefault="00827D39">
      <w:pPr>
        <w:pStyle w:val="ConsPlusTitle"/>
        <w:jc w:val="center"/>
      </w:pPr>
      <w:r>
        <w:t>от 29 июня 2018 г. N 146</w:t>
      </w:r>
    </w:p>
    <w:p w:rsidR="00827D39" w:rsidRDefault="00827D39">
      <w:pPr>
        <w:pStyle w:val="ConsPlusTitle"/>
        <w:jc w:val="center"/>
      </w:pPr>
    </w:p>
    <w:p w:rsidR="00827D39" w:rsidRDefault="00827D39">
      <w:pPr>
        <w:pStyle w:val="ConsPlusTitle"/>
        <w:jc w:val="center"/>
      </w:pPr>
      <w:r>
        <w:t>ОБ УТВЕРЖДЕНИИ МЕСТНЫХ НОРМАТИВОВ ГРАДОСТРОИТЕЛЬНОГО</w:t>
      </w:r>
    </w:p>
    <w:p w:rsidR="00827D39" w:rsidRDefault="00827D39">
      <w:pPr>
        <w:pStyle w:val="ConsPlusTitle"/>
        <w:jc w:val="center"/>
      </w:pPr>
      <w:r>
        <w:t>ПРОЕКТИРОВАНИЯ ГОРОДА КЕМЕРОВО</w:t>
      </w:r>
    </w:p>
    <w:p w:rsidR="00827D39" w:rsidRDefault="00827D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 Совета народных депутатов</w:t>
            </w:r>
          </w:p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>от 30.09.2022 N 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гл. 3.1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8">
        <w:r>
          <w:rPr>
            <w:color w:val="0000FF"/>
          </w:rPr>
          <w:t>ст. 4</w:t>
        </w:r>
      </w:hyperlink>
      <w:r>
        <w:t xml:space="preserve"> Закона Кемеровской области от 25.12.2017 N 111-ОЗ "О видах объектов регионального и местного значения",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17.10.2014 N 2658 "О порядке подготовки, утверждения местных нормативов градостроительного проектирования города Кемерово и внесения в них изменений", Кемеровский городской Совет народных депутатов решил: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ind w:firstLine="540"/>
        <w:jc w:val="both"/>
      </w:pPr>
      <w:r>
        <w:t xml:space="preserve">1. Утвердить местные нормативы градостроительного проектирования города Кемерово в редакции согласно </w:t>
      </w:r>
      <w:hyperlink w:anchor="P43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Кемеровского городского Совета народных депутатов от 16.08.2007 N 165 "О местных нормативах градостроительного проектирования на территории города Кемерово";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26.06.2009 N 256 "О внесении изменений в постановление Кемеровского городского Совета народных депутатов от 16.08.2007 N 165 "О местных нормативах градостроительного проектирования на территории города Кемерово";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2.3. </w:t>
      </w:r>
      <w:hyperlink r:id="rId12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28.06.2013 N 250 "О внесении изменений в постановление Кемеровского городского Совета народных депутатов от 16.08.2007 N 165 "О местных нормативах градостроительного проектирования на территории города Кемерово".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3. Опубликовать настоящее решение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pravo-kemerovo.ru).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4. Настоящее решение вступает в силу после его опубликования.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5. Контроль за исполнением данного решения возложить на комитет по развитию городского хозяйства Кемеровского городского Совета народных депутатов (</w:t>
      </w:r>
      <w:proofErr w:type="spellStart"/>
      <w:r>
        <w:t>В.Л.Чайковский</w:t>
      </w:r>
      <w:proofErr w:type="spellEnd"/>
      <w:r>
        <w:t>).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right"/>
      </w:pPr>
      <w:r>
        <w:t>Председатель</w:t>
      </w:r>
    </w:p>
    <w:p w:rsidR="00827D39" w:rsidRDefault="00827D39">
      <w:pPr>
        <w:pStyle w:val="ConsPlusNormal"/>
        <w:jc w:val="right"/>
      </w:pPr>
      <w:r>
        <w:t>Кемеровского городского</w:t>
      </w:r>
    </w:p>
    <w:p w:rsidR="00827D39" w:rsidRDefault="00827D39">
      <w:pPr>
        <w:pStyle w:val="ConsPlusNormal"/>
        <w:jc w:val="right"/>
      </w:pPr>
      <w:r>
        <w:t>Совета народных депутатов</w:t>
      </w:r>
    </w:p>
    <w:p w:rsidR="00827D39" w:rsidRDefault="00827D39">
      <w:pPr>
        <w:pStyle w:val="ConsPlusNormal"/>
        <w:jc w:val="right"/>
      </w:pPr>
      <w:r>
        <w:t>Н.Н.СЕНЧУРОВ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right"/>
      </w:pPr>
      <w:r>
        <w:t>Глава города</w:t>
      </w:r>
    </w:p>
    <w:p w:rsidR="00827D39" w:rsidRDefault="00827D39">
      <w:pPr>
        <w:pStyle w:val="ConsPlusNormal"/>
        <w:jc w:val="right"/>
      </w:pPr>
      <w:r>
        <w:t>И.В.СЕРЕДЮК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right"/>
        <w:outlineLvl w:val="0"/>
      </w:pPr>
      <w:r>
        <w:lastRenderedPageBreak/>
        <w:t>Приложение</w:t>
      </w:r>
    </w:p>
    <w:p w:rsidR="00827D39" w:rsidRDefault="00827D39">
      <w:pPr>
        <w:pStyle w:val="ConsPlusNormal"/>
        <w:jc w:val="right"/>
      </w:pPr>
      <w:r>
        <w:t>к решению</w:t>
      </w:r>
    </w:p>
    <w:p w:rsidR="00827D39" w:rsidRDefault="00827D39">
      <w:pPr>
        <w:pStyle w:val="ConsPlusNormal"/>
        <w:jc w:val="right"/>
      </w:pPr>
      <w:r>
        <w:t>Кемеровского городского</w:t>
      </w:r>
    </w:p>
    <w:p w:rsidR="00827D39" w:rsidRDefault="00827D39">
      <w:pPr>
        <w:pStyle w:val="ConsPlusNormal"/>
        <w:jc w:val="right"/>
      </w:pPr>
      <w:r>
        <w:t>Совета народных депутатов</w:t>
      </w:r>
    </w:p>
    <w:p w:rsidR="00827D39" w:rsidRDefault="00827D39">
      <w:pPr>
        <w:pStyle w:val="ConsPlusNormal"/>
        <w:jc w:val="right"/>
      </w:pPr>
      <w:r>
        <w:t>шестого созыва</w:t>
      </w:r>
    </w:p>
    <w:p w:rsidR="00827D39" w:rsidRDefault="00827D39">
      <w:pPr>
        <w:pStyle w:val="ConsPlusNormal"/>
        <w:jc w:val="right"/>
      </w:pPr>
      <w:r>
        <w:t>от 29 июня 2018 г. N 146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jc w:val="center"/>
      </w:pPr>
      <w:bookmarkStart w:id="1" w:name="P43"/>
      <w:bookmarkEnd w:id="1"/>
      <w:r>
        <w:t>МЕСТНЫЕ НОРМАТИВЫ</w:t>
      </w:r>
    </w:p>
    <w:p w:rsidR="00827D39" w:rsidRDefault="00827D39">
      <w:pPr>
        <w:pStyle w:val="ConsPlusTitle"/>
        <w:jc w:val="center"/>
      </w:pPr>
      <w:r>
        <w:t>ГРАДОСТРОИТЕЛЬНОГО ПРОЕКТИРОВАНИЯ ГОРОДА КЕМЕРОВО</w:t>
      </w:r>
    </w:p>
    <w:p w:rsidR="00827D39" w:rsidRDefault="00827D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Кемеровского городского Совета народных депутатов</w:t>
            </w:r>
          </w:p>
          <w:p w:rsidR="00827D39" w:rsidRDefault="00827D39">
            <w:pPr>
              <w:pStyle w:val="ConsPlusNormal"/>
              <w:jc w:val="center"/>
            </w:pPr>
            <w:r>
              <w:rPr>
                <w:color w:val="392C69"/>
              </w:rPr>
              <w:t>от 30.09.2022 N 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39" w:rsidRDefault="00827D39">
            <w:pPr>
              <w:pStyle w:val="ConsPlusNormal"/>
            </w:pP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jc w:val="center"/>
        <w:outlineLvl w:val="1"/>
      </w:pPr>
      <w:r>
        <w:t>I. Основная часть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ind w:firstLine="540"/>
        <w:jc w:val="both"/>
        <w:outlineLvl w:val="2"/>
      </w:pPr>
      <w:r>
        <w:t>1. Расчетные показатели минимально допустимого уровня обеспеченности объектами местного значения в области электро-, тепло-, газо- и водоснабжения населения, водоотведения и расчетные показатели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139"/>
        <w:gridCol w:w="2665"/>
      </w:tblGrid>
      <w:tr w:rsidR="00827D39">
        <w:tc>
          <w:tcPr>
            <w:tcW w:w="2211" w:type="dxa"/>
          </w:tcPr>
          <w:p w:rsidR="00827D39" w:rsidRDefault="00827D39">
            <w:pPr>
              <w:pStyle w:val="ConsPlusNormal"/>
              <w:jc w:val="center"/>
            </w:pPr>
            <w:r>
              <w:t>Объекты местного значения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  <w:jc w:val="center"/>
            </w:pPr>
            <w: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максимально допустимого уровня территориальной доступности</w:t>
            </w:r>
          </w:p>
        </w:tc>
      </w:tr>
      <w:tr w:rsidR="00827D39"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Объекты электроснабжения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</w:pPr>
            <w:r>
              <w:t xml:space="preserve">подстанции 10/04 </w:t>
            </w:r>
            <w:proofErr w:type="spellStart"/>
            <w:r>
              <w:t>кВ</w:t>
            </w:r>
            <w:proofErr w:type="spellEnd"/>
            <w:r>
              <w:t>: 1 ед. на 1 тыс. человек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500 м</w:t>
            </w:r>
          </w:p>
        </w:tc>
      </w:tr>
      <w:tr w:rsidR="00827D39"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Объекты газоснабжения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</w:pPr>
            <w:r>
              <w:t>газораспределительные станции (пункты): 1 ед. на 200 тыс. человек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10 000 м</w:t>
            </w:r>
          </w:p>
        </w:tc>
      </w:tr>
      <w:tr w:rsidR="00827D39"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</w:pPr>
            <w:r>
              <w:t>котельные: 4,0 Гкал/ч на 1 тыс. человек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5 000 м</w:t>
            </w:r>
          </w:p>
        </w:tc>
      </w:tr>
      <w:tr w:rsidR="00827D39"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Объекты водоснабжения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</w:pPr>
            <w:r>
              <w:t>водоочистные станции: 300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на 1 тыс. человек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30 000 м</w:t>
            </w:r>
          </w:p>
        </w:tc>
      </w:tr>
      <w:tr w:rsidR="00827D39"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Объекты водоотведения</w:t>
            </w:r>
          </w:p>
        </w:tc>
        <w:tc>
          <w:tcPr>
            <w:tcW w:w="4139" w:type="dxa"/>
          </w:tcPr>
          <w:p w:rsidR="00827D39" w:rsidRDefault="00827D39">
            <w:pPr>
              <w:pStyle w:val="ConsPlusNormal"/>
            </w:pPr>
            <w:r>
              <w:t>канализационные насосные станции в централизованной системе водоотведения: 300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 на 1 тыс. человек</w:t>
            </w:r>
          </w:p>
        </w:tc>
        <w:tc>
          <w:tcPr>
            <w:tcW w:w="2665" w:type="dxa"/>
          </w:tcPr>
          <w:p w:rsidR="00827D39" w:rsidRDefault="00827D39">
            <w:pPr>
              <w:pStyle w:val="ConsPlusNormal"/>
              <w:jc w:val="center"/>
            </w:pPr>
            <w:r>
              <w:t>30 000 м</w:t>
            </w: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ind w:firstLine="540"/>
        <w:jc w:val="both"/>
        <w:outlineLvl w:val="2"/>
      </w:pPr>
      <w:r>
        <w:t>2. Расчетные показатели минимально допустимого уровня обеспеченности объектами местного значения в области автомобильных дорог в границах городского округа (автомобильные дороги местного значения и объекты транспортной инфраструктуры, необходимые для предоставления транспортных услуг населению и организации транспортного обслуживания населения в границах городского округа) и расчетные показатели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798"/>
        <w:gridCol w:w="2721"/>
      </w:tblGrid>
      <w:tr w:rsidR="00827D3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  <w:jc w:val="center"/>
            </w:pPr>
            <w:r>
              <w:t>Виды объектов местного значения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максимально допустимого уровня территориальной доступности</w:t>
            </w:r>
          </w:p>
        </w:tc>
      </w:tr>
      <w:tr w:rsidR="00827D39"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Автомобильные дороги местного значения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  <w:r>
              <w:t>ширина в красных линиях, м: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</w:p>
        </w:tc>
      </w:tr>
      <w:tr w:rsidR="00827D39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непрерывного движения - 40 - 80;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700 - 1000 м</w:t>
            </w:r>
          </w:p>
        </w:tc>
      </w:tr>
      <w:tr w:rsidR="00827D39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регулируемого движения - 35 - 70</w:t>
            </w: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300 м</w:t>
            </w:r>
          </w:p>
        </w:tc>
      </w:tr>
      <w:tr w:rsidR="00827D39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Остановочные пункты на линиях общественного пассажирского транспорта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ширина посадочной площадки остановочных пунктов на линиях общественного пассажирского транспорта (автобусов, троллейбусов, трамваев) - 3,0 м; время передвижения на пересадку пассажиров (без учета времени ожидания транспорта) - 3 мин.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827D39" w:rsidRDefault="00827D39">
            <w:pPr>
              <w:pStyle w:val="ConsPlusNormal"/>
            </w:pPr>
            <w:r>
              <w:t>дальность пешеходных подходов к ближайшей остановке общественного транспорта:</w:t>
            </w:r>
          </w:p>
          <w:p w:rsidR="00827D39" w:rsidRDefault="00827D39">
            <w:pPr>
              <w:pStyle w:val="ConsPlusNormal"/>
            </w:pPr>
            <w:r>
              <w:t>от объектов массового посещения - не более 250 м;</w:t>
            </w:r>
          </w:p>
          <w:p w:rsidR="00827D39" w:rsidRDefault="00827D39">
            <w:pPr>
              <w:pStyle w:val="ConsPlusNormal"/>
            </w:pPr>
            <w:r>
              <w:t>в производственных зонах - не более 400 м от проходных предприятий;</w:t>
            </w:r>
          </w:p>
          <w:p w:rsidR="00827D39" w:rsidRDefault="00827D39">
            <w:pPr>
              <w:pStyle w:val="ConsPlusNormal"/>
            </w:pPr>
            <w:r>
              <w:t>в зонах массового отдыха и спорта - не более 800 м от главного входа</w:t>
            </w:r>
          </w:p>
        </w:tc>
      </w:tr>
      <w:tr w:rsidR="00827D39"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  <w:r>
              <w:t>Велосипедные дорожки:</w:t>
            </w:r>
          </w:p>
          <w:p w:rsidR="00827D39" w:rsidRDefault="00827D39">
            <w:pPr>
              <w:pStyle w:val="ConsPlusNormal"/>
            </w:pPr>
            <w:r>
              <w:t>- специально выделенная полоса, предназначенная для движения велосипедного транспорта, которая может устраиваться на магистральных улицах общегородского значения 2-го и 3-го классов, районного значения и жилых улицах в составе поперечного профиля улично-дорожной сети;</w:t>
            </w:r>
          </w:p>
          <w:p w:rsidR="00827D39" w:rsidRDefault="00827D39">
            <w:pPr>
              <w:pStyle w:val="ConsPlusNormal"/>
            </w:pPr>
            <w:r>
              <w:t>- на рекреационных территориях в жилых зонах</w:t>
            </w: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  <w:r>
              <w:t>уровень обеспеченности, число полос движения велосипедистов: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</w:p>
        </w:tc>
      </w:tr>
      <w:tr w:rsidR="00827D39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- при движении в одном направлении - 1,5 м;</w:t>
            </w:r>
          </w:p>
          <w:p w:rsidR="00827D39" w:rsidRDefault="00827D39">
            <w:pPr>
              <w:pStyle w:val="ConsPlusNormal"/>
            </w:pPr>
            <w:r>
              <w:t>- при движении в двух направлениях - 2 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не подлежит нормированию</w:t>
            </w:r>
          </w:p>
        </w:tc>
      </w:tr>
      <w:tr w:rsidR="00827D39">
        <w:tblPrEx>
          <w:tblBorders>
            <w:insideH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827D39" w:rsidRDefault="00827D3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- при движении в одном направлении - 1 м;</w:t>
            </w:r>
          </w:p>
          <w:p w:rsidR="00827D39" w:rsidRDefault="00827D39">
            <w:pPr>
              <w:pStyle w:val="ConsPlusNormal"/>
            </w:pPr>
            <w:r>
              <w:t>- при движении в двух направлениях - 2 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27D39" w:rsidRDefault="00827D39">
            <w:pPr>
              <w:pStyle w:val="ConsPlusNormal"/>
            </w:pPr>
            <w:r>
              <w:t>не подлежит нормированию</w:t>
            </w:r>
          </w:p>
        </w:tc>
      </w:tr>
      <w:tr w:rsidR="00827D39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827D39" w:rsidRDefault="00827D39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решением</w:t>
              </w:r>
            </w:hyperlink>
            <w:r>
              <w:t xml:space="preserve"> Кемеровского городского Совета народных депутатов от 30.09.2022 N 124)</w:t>
            </w: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ind w:firstLine="540"/>
        <w:jc w:val="both"/>
        <w:outlineLvl w:val="2"/>
      </w:pPr>
      <w:r>
        <w:t>3. Расчетные показатели минимально допустимого уровня обеспеченности объектами местного значения в области физической культуры и массового спорта; образования; обработки, утилизации, обезвреживания, размещения твердых коммунальных отходов и расчетные показатели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798"/>
        <w:gridCol w:w="2721"/>
      </w:tblGrid>
      <w:tr w:rsidR="00827D39">
        <w:tc>
          <w:tcPr>
            <w:tcW w:w="2551" w:type="dxa"/>
          </w:tcPr>
          <w:p w:rsidR="00827D39" w:rsidRDefault="00827D39">
            <w:pPr>
              <w:pStyle w:val="ConsPlusNormal"/>
              <w:jc w:val="center"/>
            </w:pPr>
            <w:r>
              <w:t>Объекты местного значения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  <w:jc w:val="center"/>
            </w:pPr>
            <w: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максимально допустимого уровня территориальной доступности</w:t>
            </w:r>
          </w:p>
        </w:tc>
      </w:tr>
      <w:tr w:rsidR="00827D39">
        <w:tc>
          <w:tcPr>
            <w:tcW w:w="2551" w:type="dxa"/>
            <w:vMerge w:val="restart"/>
          </w:tcPr>
          <w:p w:rsidR="00827D39" w:rsidRDefault="00827D39">
            <w:pPr>
              <w:pStyle w:val="ConsPlusNormal"/>
            </w:pPr>
            <w:r>
              <w:t>Объекты спорта городского округа, отвечающие требованиям проведения официальных муниципальных физкультурных и спортивных мероприятий</w:t>
            </w:r>
          </w:p>
        </w:tc>
        <w:tc>
          <w:tcPr>
            <w:tcW w:w="3798" w:type="dxa"/>
            <w:tcBorders>
              <w:bottom w:val="nil"/>
            </w:tcBorders>
          </w:tcPr>
          <w:p w:rsidR="00827D39" w:rsidRDefault="00827D39">
            <w:pPr>
              <w:pStyle w:val="ConsPlusNormal"/>
            </w:pPr>
            <w:r>
              <w:t>спортивные залы общего пользования: 60 - 80 кв. м площади пола на 1 тыс. человек;</w:t>
            </w:r>
          </w:p>
        </w:tc>
        <w:tc>
          <w:tcPr>
            <w:tcW w:w="2721" w:type="dxa"/>
            <w:tcBorders>
              <w:bottom w:val="nil"/>
            </w:tcBorders>
          </w:tcPr>
          <w:p w:rsidR="00827D39" w:rsidRDefault="00827D39">
            <w:pPr>
              <w:pStyle w:val="ConsPlusNormal"/>
            </w:pPr>
            <w:r>
              <w:t>30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  <w:vMerge/>
          </w:tcPr>
          <w:p w:rsidR="00827D39" w:rsidRDefault="00827D39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:rsidR="00827D39" w:rsidRDefault="00827D39">
            <w:pPr>
              <w:pStyle w:val="ConsPlusNormal"/>
            </w:pPr>
            <w:r>
              <w:t>бассейны крытые и открытые общего пользования: 20 кв. м зеркала воды на 1 тыс. человек</w:t>
            </w:r>
          </w:p>
        </w:tc>
        <w:tc>
          <w:tcPr>
            <w:tcW w:w="2721" w:type="dxa"/>
            <w:tcBorders>
              <w:top w:val="nil"/>
            </w:tcBorders>
          </w:tcPr>
          <w:p w:rsidR="00827D39" w:rsidRDefault="00827D39">
            <w:pPr>
              <w:pStyle w:val="ConsPlusNormal"/>
            </w:pPr>
            <w:r>
              <w:t>60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 xml:space="preserve">Объекты, необходимые для размещения </w:t>
            </w:r>
            <w: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lastRenderedPageBreak/>
              <w:t>72 места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 xml:space="preserve">300 м в зонах многоквартирной жилой </w:t>
            </w:r>
            <w:r>
              <w:lastRenderedPageBreak/>
              <w:t>застройки,</w:t>
            </w:r>
          </w:p>
          <w:p w:rsidR="00827D39" w:rsidRDefault="00827D39">
            <w:pPr>
              <w:pStyle w:val="ConsPlusNormal"/>
            </w:pPr>
            <w:r>
              <w:t>800 м в зонах индивидуальной жилой застройки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lastRenderedPageBreak/>
              <w:t>Объекты, необходимые для размещения муниципальных общеобразовательных организаций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110 мест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500 - 800 м (400 - 600 м - начальное и основное общее образование) в зонах многоквартирной жилой застройки, 750 - 1000 м в зонах индивидуальной жилой застройки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Объекты, необходимые для размещения муниципальных организаций, осуществляющих обучение (организаций для детей-сирот и детей, оставшихся без попечения родителей, организаций, осуществляющих лечение, оздоровление и (или) отдых, организаций, осуществляющих социальное обслуживание)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детские дома-интернаты:</w:t>
            </w:r>
          </w:p>
          <w:p w:rsidR="00827D39" w:rsidRDefault="00827D39">
            <w:pPr>
              <w:pStyle w:val="ConsPlusNormal"/>
            </w:pPr>
            <w:r>
              <w:t>3 места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45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Объекты, предназначенные для обработки, утилизации, обезвреживания, размещения твердых коммунальных отходов (установки, полигоны)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полигоны: 0,02 - 0,05 га на 1 тыс. тонн твердых коммунальных отходов в год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60 минут транспортной доступности</w:t>
            </w: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ind w:firstLine="540"/>
        <w:jc w:val="both"/>
        <w:outlineLvl w:val="2"/>
      </w:pPr>
      <w:r>
        <w:t>4. Расчетные показатели минимально допустимого уровня обеспеченности объектами местного значения в иных областях и расчетные показатели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798"/>
        <w:gridCol w:w="2721"/>
      </w:tblGrid>
      <w:tr w:rsidR="00827D39">
        <w:tc>
          <w:tcPr>
            <w:tcW w:w="2551" w:type="dxa"/>
          </w:tcPr>
          <w:p w:rsidR="00827D39" w:rsidRDefault="00827D39">
            <w:pPr>
              <w:pStyle w:val="ConsPlusNormal"/>
              <w:jc w:val="center"/>
            </w:pPr>
            <w:r>
              <w:t>Объекты местного значения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  <w:jc w:val="center"/>
            </w:pPr>
            <w:r>
              <w:t>Виды объектов, расчетные показатели минимально допустимого уровня обеспеченности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максимально допустимого уровня территориальной доступности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Объекты, необходимые для размещения органов местного самоуправления городского округа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территориальные управления местной администрации: 1 ед. в каждом районе городского округа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20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 муниципального жилищного фонда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жилые помещения, предоставляемые по договору социального найма: 14 кв. м общей площади на 1 человека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30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lastRenderedPageBreak/>
              <w:t>Объекты похоронного назначения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кладбища традиционного захоронения: 0,24 га на 1 тыс. человек;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кладбища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кремации: 0,02 га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60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Объекты, необходимые для размещения муниципального архива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100 единиц хранения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 культуры и искусства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общедоступные библиотеки: 1 ед. на 20 тыс. человек;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кинотеатры: 30 мест на 1 тыс. человек;</w:t>
            </w:r>
          </w:p>
          <w:p w:rsidR="00827D39" w:rsidRDefault="00827D39">
            <w:pPr>
              <w:pStyle w:val="ConsPlusNormal"/>
            </w:pPr>
            <w:r>
              <w:t>театры: 8 мест на 1 тыс. человек;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цирки: 4 места на 1 тыс. человек;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дома культуры: 1 ед. на 30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35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Объекты, предназначенные для предупреждения и ликвидации чрезвычайных ситуаций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система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1 ед. на городской округ с охватом 100% населения городского округа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 xml:space="preserve">радиус действия </w:t>
            </w:r>
            <w:proofErr w:type="spellStart"/>
            <w:r>
              <w:t>электросирены</w:t>
            </w:r>
            <w:proofErr w:type="spellEnd"/>
          </w:p>
          <w:p w:rsidR="00827D39" w:rsidRDefault="00827D39">
            <w:pPr>
              <w:pStyle w:val="ConsPlusNormal"/>
            </w:pPr>
            <w:r>
              <w:t>500 - 700 м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 гражданской обороны, предназначенные для обеспечения проведения мероприятий по гражданской обороне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убежища: 1 ед. вместимостью не менее 150 человек с учетом числа работающих в наиболее многочисленной смене на предприятиях, продолжающих работу в военное время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500 м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 размещения аварийно-спасательных служб и (или) аварийно-спасательных формирований, необходимые для решения вопросов местного значения городского округа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силы постоянной готовности городского звена территориальной подсистемы Кемеровской области единой государственной системы предупреждения и ликвидации чрезвычайных ситуаций (РСЧС): 1 аварийно-спасательное формирование на 40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по нормативу аварийно-спасательного формирования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Объекты отдыха и туризма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туристические гостиницы и турбазы: 500 - 1000 кв. м/место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Лечебно-оздоровительные местности и курорты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детские оздоровительные лагеря, кв. м/место:</w:t>
            </w:r>
          </w:p>
          <w:p w:rsidR="00827D39" w:rsidRDefault="00827D39">
            <w:pPr>
              <w:pStyle w:val="ConsPlusNormal"/>
            </w:pPr>
            <w:r>
              <w:t>спальные комнаты - 4,5;</w:t>
            </w:r>
          </w:p>
          <w:p w:rsidR="00827D39" w:rsidRDefault="00827D39">
            <w:pPr>
              <w:pStyle w:val="ConsPlusNormal"/>
            </w:pPr>
            <w:r>
              <w:t>комнаты для дневного пребывания - 2;</w:t>
            </w:r>
          </w:p>
          <w:p w:rsidR="00827D39" w:rsidRDefault="00827D39">
            <w:pPr>
              <w:pStyle w:val="ConsPlusNormal"/>
            </w:pPr>
            <w:r>
              <w:t>размер территории - 150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90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lastRenderedPageBreak/>
              <w:t>Объекты культурного наследия (памятники истории и культуры) народов Российской Федерации местного (муниципального) значения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1 ед. на 10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35 мин.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Особо охраняемые природные территории местного значения</w:t>
            </w:r>
          </w:p>
        </w:tc>
        <w:tc>
          <w:tcPr>
            <w:tcW w:w="3798" w:type="dxa"/>
          </w:tcPr>
          <w:p w:rsidR="00827D39" w:rsidRDefault="00827D39">
            <w:pPr>
              <w:pStyle w:val="ConsPlusNormal"/>
            </w:pPr>
            <w:r>
              <w:t>0,6 га на 1 тыс. человек</w:t>
            </w:r>
          </w:p>
        </w:tc>
        <w:tc>
          <w:tcPr>
            <w:tcW w:w="2721" w:type="dxa"/>
          </w:tcPr>
          <w:p w:rsidR="00827D39" w:rsidRDefault="00827D39">
            <w:pPr>
              <w:pStyle w:val="ConsPlusNormal"/>
            </w:pPr>
            <w:r>
              <w:t>60 мин. транспортной доступности с использованием сети маршрутов общественного пассажирского транспорта</w:t>
            </w: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ind w:firstLine="540"/>
        <w:jc w:val="both"/>
        <w:outlineLvl w:val="2"/>
      </w:pPr>
      <w:r>
        <w:t>5. Расчетные показатели минимально допустимого уровня обеспеченности объектами благоустройства и расчетные показатели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252"/>
        <w:gridCol w:w="2211"/>
      </w:tblGrid>
      <w:tr w:rsidR="00827D39">
        <w:tc>
          <w:tcPr>
            <w:tcW w:w="2551" w:type="dxa"/>
          </w:tcPr>
          <w:p w:rsidR="00827D39" w:rsidRDefault="00827D39">
            <w:pPr>
              <w:pStyle w:val="ConsPlusNormal"/>
              <w:jc w:val="center"/>
            </w:pPr>
            <w:r>
              <w:t>Виды объектов</w:t>
            </w:r>
          </w:p>
        </w:tc>
        <w:tc>
          <w:tcPr>
            <w:tcW w:w="4252" w:type="dxa"/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минимально допустимого уровня обеспеченности</w:t>
            </w:r>
          </w:p>
        </w:tc>
        <w:tc>
          <w:tcPr>
            <w:tcW w:w="2211" w:type="dxa"/>
          </w:tcPr>
          <w:p w:rsidR="00827D39" w:rsidRDefault="00827D39">
            <w:pPr>
              <w:pStyle w:val="ConsPlusNormal"/>
              <w:jc w:val="center"/>
            </w:pPr>
            <w:r>
              <w:t>Расчетные показатели максимально допустимого уровня территориальной доступности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proofErr w:type="spellStart"/>
            <w:r>
              <w:t>Приобъектные</w:t>
            </w:r>
            <w:proofErr w:type="spellEnd"/>
            <w:r>
              <w:t xml:space="preserve"> стоянки легковых автомобилей</w:t>
            </w:r>
          </w:p>
        </w:tc>
        <w:tc>
          <w:tcPr>
            <w:tcW w:w="4252" w:type="dxa"/>
          </w:tcPr>
          <w:p w:rsidR="00827D39" w:rsidRDefault="00827D39">
            <w:pPr>
              <w:pStyle w:val="ConsPlusNormal"/>
            </w:pPr>
            <w:r>
              <w:t xml:space="preserve">учреждения органов государственной власти, органов местного самоуправления: 1 </w:t>
            </w:r>
            <w:proofErr w:type="spellStart"/>
            <w:r>
              <w:t>машино</w:t>
            </w:r>
            <w:proofErr w:type="spellEnd"/>
            <w:r>
              <w:t>-место на 220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коммерческо-деловые центры, офисные здания и помещения, страховые компании: 1 </w:t>
            </w:r>
            <w:proofErr w:type="spellStart"/>
            <w:r>
              <w:t>машино</w:t>
            </w:r>
            <w:proofErr w:type="spellEnd"/>
            <w:r>
              <w:t>-место на 60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районные суды:</w:t>
            </w:r>
          </w:p>
          <w:p w:rsidR="00827D39" w:rsidRDefault="00827D39">
            <w:pPr>
              <w:pStyle w:val="ConsPlusNormal"/>
            </w:pPr>
            <w:r>
              <w:t>- с численностью судей до 10:</w:t>
            </w:r>
          </w:p>
          <w:p w:rsidR="00827D39" w:rsidRDefault="00827D39">
            <w:pPr>
              <w:pStyle w:val="ConsPlusNormal"/>
            </w:pPr>
            <w:r>
              <w:t xml:space="preserve">6 </w:t>
            </w:r>
            <w:proofErr w:type="spellStart"/>
            <w:r>
              <w:t>машино</w:t>
            </w:r>
            <w:proofErr w:type="spellEnd"/>
            <w:r>
              <w:t xml:space="preserve">-мест для личного автотранспорта судей и работников суда, 10 </w:t>
            </w:r>
            <w:proofErr w:type="spellStart"/>
            <w:r>
              <w:t>машино</w:t>
            </w:r>
            <w:proofErr w:type="spellEnd"/>
            <w:r>
              <w:t>-мест для личного автотранспорта посетителей,</w:t>
            </w:r>
          </w:p>
          <w:p w:rsidR="00827D39" w:rsidRDefault="00827D39">
            <w:pPr>
              <w:pStyle w:val="ConsPlusNormal"/>
            </w:pPr>
            <w:r>
              <w:t>- с численностью судей от 11 до 25:</w:t>
            </w:r>
          </w:p>
          <w:p w:rsidR="00827D39" w:rsidRDefault="00827D39">
            <w:pPr>
              <w:pStyle w:val="ConsPlusNormal"/>
            </w:pPr>
            <w:r>
              <w:t xml:space="preserve">14 </w:t>
            </w:r>
            <w:proofErr w:type="spellStart"/>
            <w:r>
              <w:t>машино</w:t>
            </w:r>
            <w:proofErr w:type="spellEnd"/>
            <w:r>
              <w:t xml:space="preserve">-мест для личного автотранспорта судей и работников суда, 24 </w:t>
            </w:r>
            <w:proofErr w:type="spellStart"/>
            <w:r>
              <w:t>машино</w:t>
            </w:r>
            <w:proofErr w:type="spellEnd"/>
            <w:r>
              <w:t>-места для личного автотранспорта посетителей,</w:t>
            </w:r>
          </w:p>
          <w:p w:rsidR="00827D39" w:rsidRDefault="00827D39">
            <w:pPr>
              <w:pStyle w:val="ConsPlusNormal"/>
            </w:pPr>
            <w:r>
              <w:t>- с численностью судей от 26 до 50:</w:t>
            </w:r>
          </w:p>
          <w:p w:rsidR="00827D39" w:rsidRDefault="00827D39">
            <w:pPr>
              <w:pStyle w:val="ConsPlusNormal"/>
            </w:pPr>
            <w:r>
              <w:t xml:space="preserve">30 </w:t>
            </w:r>
            <w:proofErr w:type="spellStart"/>
            <w:r>
              <w:t>машино</w:t>
            </w:r>
            <w:proofErr w:type="spellEnd"/>
            <w:r>
              <w:t xml:space="preserve">-мест для личного автотранспорта судей и работников суда, 48 </w:t>
            </w:r>
            <w:proofErr w:type="spellStart"/>
            <w:r>
              <w:t>машино</w:t>
            </w:r>
            <w:proofErr w:type="spellEnd"/>
            <w:r>
              <w:t>-мест для личного автотранспорта посетителей;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здания и сооружения следственных органов: 1 </w:t>
            </w:r>
            <w:proofErr w:type="spellStart"/>
            <w:r>
              <w:t>машино</w:t>
            </w:r>
            <w:proofErr w:type="spellEnd"/>
            <w:r>
              <w:t>-место на трех сотрудников;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магазины-склады (мелкооптовой и розничной торговли, гипермаркеты): 1 </w:t>
            </w:r>
            <w:proofErr w:type="spellStart"/>
            <w:r>
              <w:t>машино</w:t>
            </w:r>
            <w:proofErr w:type="spellEnd"/>
            <w:r>
              <w:t>-место на 35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объекты торгового назначения с широким </w:t>
            </w:r>
            <w:r>
              <w:lastRenderedPageBreak/>
              <w:t xml:space="preserve">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др.): 1 </w:t>
            </w:r>
            <w:proofErr w:type="spellStart"/>
            <w:r>
              <w:t>машино</w:t>
            </w:r>
            <w:proofErr w:type="spellEnd"/>
            <w:r>
              <w:t>-место на 50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др.): 1 </w:t>
            </w:r>
            <w:proofErr w:type="spellStart"/>
            <w:r>
              <w:t>машино</w:t>
            </w:r>
            <w:proofErr w:type="spellEnd"/>
            <w:r>
              <w:t>-место на 60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рынки постоянные:</w:t>
            </w:r>
          </w:p>
          <w:p w:rsidR="00827D39" w:rsidRDefault="00827D39">
            <w:pPr>
              <w:pStyle w:val="ConsPlusNormal"/>
            </w:pPr>
            <w:r>
              <w:t>- универсальные и непродовольственные:</w:t>
            </w:r>
          </w:p>
          <w:p w:rsidR="00827D39" w:rsidRDefault="00827D39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 на 30 кв. м общей площади,</w:t>
            </w:r>
          </w:p>
          <w:p w:rsidR="00827D39" w:rsidRDefault="00827D39">
            <w:pPr>
              <w:pStyle w:val="ConsPlusNormal"/>
            </w:pPr>
            <w:r>
              <w:t xml:space="preserve">- продовольственные и сельскохозяйственные: 1 </w:t>
            </w:r>
            <w:proofErr w:type="spellStart"/>
            <w:r>
              <w:t>машино</w:t>
            </w:r>
            <w:proofErr w:type="spellEnd"/>
            <w:r>
              <w:t>-место на 50 кв. м общей площади;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предприятия общественного питания периодического спроса (рестораны, кафе и др.): 1 </w:t>
            </w:r>
            <w:proofErr w:type="spellStart"/>
            <w:r>
              <w:t>машино</w:t>
            </w:r>
            <w:proofErr w:type="spellEnd"/>
            <w:r>
              <w:t>-место на 5 посадочных мест;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гостиницы:</w:t>
            </w:r>
          </w:p>
          <w:p w:rsidR="00827D39" w:rsidRDefault="00827D39">
            <w:pPr>
              <w:pStyle w:val="ConsPlusNormal"/>
            </w:pPr>
            <w:r>
              <w:t>- категорий до "три звезды" включительно не менее 20% от числа номеров,</w:t>
            </w:r>
          </w:p>
          <w:p w:rsidR="00827D39" w:rsidRDefault="00827D39">
            <w:pPr>
              <w:pStyle w:val="ConsPlusNormal"/>
            </w:pPr>
            <w:r>
              <w:t>- категорий от "четыре звезды" включительно не менее 30% числа номеров;</w:t>
            </w:r>
          </w:p>
          <w:p w:rsidR="00827D39" w:rsidRDefault="00827D39">
            <w:pPr>
              <w:pStyle w:val="ConsPlusNormal"/>
            </w:pPr>
            <w:r>
              <w:t>мотели: не менее 50% от числа номеров;</w:t>
            </w:r>
          </w:p>
          <w:p w:rsidR="00827D39" w:rsidRDefault="00827D39">
            <w:pPr>
              <w:pStyle w:val="ConsPlusNormal"/>
            </w:pPr>
            <w:r>
              <w:t>стоянки для легковых автомобилей обслуживающего персонала гостиниц, мотелей - не менее 10% числа работающих;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киноцентры и кинотеатры:</w:t>
            </w:r>
          </w:p>
          <w:p w:rsidR="00827D39" w:rsidRDefault="00827D39">
            <w:pPr>
              <w:pStyle w:val="ConsPlusNormal"/>
            </w:pPr>
            <w:r>
              <w:t xml:space="preserve">- городского значения (1-й уровень комфорта): 1 </w:t>
            </w:r>
            <w:proofErr w:type="spellStart"/>
            <w:r>
              <w:t>машино</w:t>
            </w:r>
            <w:proofErr w:type="spellEnd"/>
            <w:r>
              <w:t>-место на 10 зрительских мест;</w:t>
            </w:r>
          </w:p>
          <w:p w:rsidR="00827D39" w:rsidRDefault="00827D39">
            <w:pPr>
              <w:pStyle w:val="ConsPlusNormal"/>
            </w:pPr>
            <w:r>
              <w:t xml:space="preserve">- другие (2-й уровень комфорта): 1 </w:t>
            </w:r>
            <w:proofErr w:type="spellStart"/>
            <w:r>
              <w:t>машино</w:t>
            </w:r>
            <w:proofErr w:type="spellEnd"/>
            <w:r>
              <w:t>-место на 15 зрительских мест;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объекты религиозных конфессий (церкви, костелы, мечети, синагоги и др.): 1 </w:t>
            </w:r>
            <w:proofErr w:type="spellStart"/>
            <w:r>
              <w:t>машино</w:t>
            </w:r>
            <w:proofErr w:type="spellEnd"/>
            <w:r>
              <w:t xml:space="preserve">-место на 8 - 10 единовременных посетителей, но не менее 10 </w:t>
            </w:r>
            <w:proofErr w:type="spellStart"/>
            <w:r>
              <w:t>машино</w:t>
            </w:r>
            <w:proofErr w:type="spellEnd"/>
            <w:r>
              <w:t>-мест на объект;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досугово-развлекательные учреждения (развлекательные центры, дискотеки, залы игровых автоматов, ночные клубы): 1 </w:t>
            </w:r>
            <w:proofErr w:type="spellStart"/>
            <w:r>
              <w:t>машино</w:t>
            </w:r>
            <w:proofErr w:type="spellEnd"/>
            <w:r>
              <w:t>-место на 4 - 7 единовременных посетителей;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спортивные комплексы и стадионы с трибунами: 1 </w:t>
            </w:r>
            <w:proofErr w:type="spellStart"/>
            <w:r>
              <w:t>машино</w:t>
            </w:r>
            <w:proofErr w:type="spellEnd"/>
            <w:r>
              <w:t xml:space="preserve">-место на 25 - 30 мест </w:t>
            </w:r>
            <w:r>
              <w:lastRenderedPageBreak/>
              <w:t>на трибунах;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муниципальные детские физкультурно-оздоровительные объекты микрорайонного и районного уровней обслуживания (тренажерные залы площадью 150 - 500 кв. м): 1 </w:t>
            </w:r>
            <w:proofErr w:type="spellStart"/>
            <w:r>
              <w:t>машино</w:t>
            </w:r>
            <w:proofErr w:type="spellEnd"/>
            <w:r>
              <w:t>-место на 8 - 10 единовременных посетителей;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>физкультурно-оздоровительные комплексы:</w:t>
            </w:r>
          </w:p>
          <w:p w:rsidR="00827D39" w:rsidRDefault="00827D39">
            <w:pPr>
              <w:pStyle w:val="ConsPlusNormal"/>
            </w:pPr>
            <w:r>
              <w:t xml:space="preserve">- с залом площадью 1000 - 2000 кв. м: 1 </w:t>
            </w:r>
            <w:proofErr w:type="spellStart"/>
            <w:r>
              <w:t>машино</w:t>
            </w:r>
            <w:proofErr w:type="spellEnd"/>
            <w:r>
              <w:t>-место на 10 единовременных посетителей;</w:t>
            </w:r>
          </w:p>
          <w:p w:rsidR="00827D39" w:rsidRDefault="00827D39">
            <w:pPr>
              <w:pStyle w:val="ConsPlusNormal"/>
            </w:pPr>
            <w:r>
              <w:t xml:space="preserve">- с залом площадью 2000 - 3000 кв. м: 1 </w:t>
            </w:r>
            <w:proofErr w:type="spellStart"/>
            <w:r>
              <w:t>машино</w:t>
            </w:r>
            <w:proofErr w:type="spellEnd"/>
            <w:r>
              <w:t>-место на 5 - 7 единовременных посетителей;</w:t>
            </w:r>
          </w:p>
          <w:p w:rsidR="00827D39" w:rsidRDefault="00827D39">
            <w:pPr>
              <w:pStyle w:val="ConsPlusNormal"/>
            </w:pPr>
          </w:p>
          <w:p w:rsidR="00827D39" w:rsidRDefault="00827D39">
            <w:pPr>
              <w:pStyle w:val="ConsPlusNormal"/>
            </w:pPr>
            <w:r>
              <w:t xml:space="preserve">аквапарки, бассейны: 1 </w:t>
            </w:r>
            <w:proofErr w:type="spellStart"/>
            <w:r>
              <w:t>машино</w:t>
            </w:r>
            <w:proofErr w:type="spellEnd"/>
            <w:r>
              <w:t>-место на 5 - 7 единовременных посетителей</w:t>
            </w:r>
          </w:p>
        </w:tc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lastRenderedPageBreak/>
              <w:t>не более 800 м пешеходной доступности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lastRenderedPageBreak/>
              <w:t>Объекты постоянного хранения легковых автомобилей, расположенные вблизи мест проживания</w:t>
            </w:r>
          </w:p>
        </w:tc>
        <w:tc>
          <w:tcPr>
            <w:tcW w:w="4252" w:type="dxa"/>
          </w:tcPr>
          <w:p w:rsidR="00827D39" w:rsidRDefault="00827D39">
            <w:pPr>
              <w:pStyle w:val="ConsPlusNormal"/>
            </w:pPr>
            <w:r>
              <w:t>многоквартирные жилые дома:</w:t>
            </w:r>
          </w:p>
          <w:p w:rsidR="00827D39" w:rsidRDefault="00827D39">
            <w:pPr>
              <w:pStyle w:val="ConsPlusNormal"/>
            </w:pPr>
            <w:r>
              <w:t xml:space="preserve">- бизнес-класса: 2 </w:t>
            </w:r>
            <w:proofErr w:type="spellStart"/>
            <w:r>
              <w:t>машино</w:t>
            </w:r>
            <w:proofErr w:type="spellEnd"/>
            <w:r>
              <w:t>-места на квартиру;</w:t>
            </w:r>
          </w:p>
          <w:p w:rsidR="00827D39" w:rsidRDefault="00827D39">
            <w:pPr>
              <w:pStyle w:val="ConsPlusNormal"/>
            </w:pPr>
            <w:r>
              <w:t xml:space="preserve">- эконом-класса: 1,2 </w:t>
            </w:r>
            <w:proofErr w:type="spellStart"/>
            <w:r>
              <w:t>машино</w:t>
            </w:r>
            <w:proofErr w:type="spellEnd"/>
            <w:r>
              <w:t>-места на квартиру;</w:t>
            </w:r>
          </w:p>
          <w:p w:rsidR="00827D39" w:rsidRDefault="00827D39">
            <w:pPr>
              <w:pStyle w:val="ConsPlusNormal"/>
            </w:pPr>
            <w:r>
              <w:t xml:space="preserve">- муниципальный жилищный фонд: 1 </w:t>
            </w:r>
            <w:proofErr w:type="spellStart"/>
            <w:r>
              <w:t>машино</w:t>
            </w:r>
            <w:proofErr w:type="spellEnd"/>
            <w:r>
              <w:t>-место на квартиру;</w:t>
            </w:r>
          </w:p>
          <w:p w:rsidR="00827D39" w:rsidRDefault="00827D39">
            <w:pPr>
              <w:pStyle w:val="ConsPlusNormal"/>
            </w:pPr>
            <w:r>
              <w:t xml:space="preserve">- специализированный жилищный фонд: 0,7 </w:t>
            </w:r>
            <w:proofErr w:type="spellStart"/>
            <w:r>
              <w:t>машино</w:t>
            </w:r>
            <w:proofErr w:type="spellEnd"/>
            <w:r>
              <w:t>-места на квартиру</w:t>
            </w:r>
          </w:p>
        </w:tc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не более 800 м пешеходной доступности;</w:t>
            </w:r>
          </w:p>
          <w:p w:rsidR="00827D39" w:rsidRDefault="00827D39">
            <w:pPr>
              <w:pStyle w:val="ConsPlusNormal"/>
            </w:pPr>
            <w:r>
              <w:t>не более 1000 м пешеходной доступности в районах реконструкции;</w:t>
            </w:r>
          </w:p>
          <w:p w:rsidR="00827D39" w:rsidRDefault="00827D39">
            <w:pPr>
              <w:pStyle w:val="ConsPlusNormal"/>
            </w:pPr>
            <w:r>
              <w:t xml:space="preserve">для хранения автомобилей и других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принадлежащих инвалидам, - не более 50 м от входов в жилые дома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4252" w:type="dxa"/>
          </w:tcPr>
          <w:p w:rsidR="00827D39" w:rsidRDefault="00827D39">
            <w:pPr>
              <w:pStyle w:val="ConsPlusNormal"/>
            </w:pPr>
            <w:r>
              <w:t>0,5 га на 1 тыс. человек</w:t>
            </w:r>
          </w:p>
        </w:tc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30 минут транспортной доступности с использованием сети маршрутов общественного пассажирского транспорта</w:t>
            </w:r>
          </w:p>
        </w:tc>
      </w:tr>
      <w:tr w:rsidR="00827D39">
        <w:tc>
          <w:tcPr>
            <w:tcW w:w="2551" w:type="dxa"/>
          </w:tcPr>
          <w:p w:rsidR="00827D39" w:rsidRDefault="00827D39">
            <w:pPr>
              <w:pStyle w:val="ConsPlusNormal"/>
            </w:pPr>
            <w:r>
              <w:t>Скверы микрорайонного значения</w:t>
            </w:r>
          </w:p>
        </w:tc>
        <w:tc>
          <w:tcPr>
            <w:tcW w:w="4252" w:type="dxa"/>
          </w:tcPr>
          <w:p w:rsidR="00827D39" w:rsidRDefault="00827D39">
            <w:pPr>
              <w:pStyle w:val="ConsPlusNormal"/>
            </w:pPr>
            <w:r>
              <w:t>0,15 га на 1 тыс. человек</w:t>
            </w:r>
          </w:p>
        </w:tc>
        <w:tc>
          <w:tcPr>
            <w:tcW w:w="2211" w:type="dxa"/>
          </w:tcPr>
          <w:p w:rsidR="00827D39" w:rsidRDefault="00827D39">
            <w:pPr>
              <w:pStyle w:val="ConsPlusNormal"/>
            </w:pPr>
            <w:r>
              <w:t>1000 м</w:t>
            </w:r>
          </w:p>
        </w:tc>
      </w:tr>
    </w:tbl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jc w:val="center"/>
        <w:outlineLvl w:val="1"/>
      </w:pPr>
      <w:r>
        <w:t>II. Материалы по обоснованию расчетных показателей,</w:t>
      </w:r>
    </w:p>
    <w:p w:rsidR="00827D39" w:rsidRDefault="00827D39">
      <w:pPr>
        <w:pStyle w:val="ConsPlusTitle"/>
        <w:jc w:val="center"/>
      </w:pPr>
      <w:r>
        <w:t>содержащихся в основной части местных нормативов</w:t>
      </w:r>
    </w:p>
    <w:p w:rsidR="00827D39" w:rsidRDefault="00827D39">
      <w:pPr>
        <w:pStyle w:val="ConsPlusTitle"/>
        <w:jc w:val="center"/>
      </w:pPr>
      <w:r>
        <w:t>градостроительного проектирования города Кемерово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ind w:firstLine="540"/>
        <w:jc w:val="both"/>
      </w:pPr>
      <w:bookmarkStart w:id="2" w:name="P260"/>
      <w:bookmarkEnd w:id="2"/>
      <w:r>
        <w:t xml:space="preserve">1. Расчетные показатели определены в соответствии с </w:t>
      </w:r>
      <w:hyperlink r:id="rId15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Кемеровской области, утвержденными постановлением Коллегии Администрации Кемеровской области от 14.10.2009 N 406, на основании социально-демографического состава и плотности населения города Кемерово исходя из фактической (за период 2014 - 2017 годов) и прогнозной (до 2019 года) среднегодовой численности населения города Кемерово на 2019 год, фактической и прогнозной среднегодовой численности возрастных групп, с учетом планов социально-экономического развития города Кемерово до 2025 года, утвержденных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28.09.2007 N 169.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lastRenderedPageBreak/>
        <w:t xml:space="preserve">2. Минимально допустимый уровень обеспеченности объектами местного значения в области электро-, тепло-, газо- и водоснабжения населения, водоотведения, а также максимально допустимый уровень территориальной доступности таких объектов установлены в соответствии с </w:t>
      </w:r>
      <w:hyperlink w:anchor="P260">
        <w:r>
          <w:rPr>
            <w:color w:val="0000FF"/>
          </w:rPr>
          <w:t>пунктом 1</w:t>
        </w:r>
      </w:hyperlink>
      <w:r>
        <w:t xml:space="preserve"> настоящего раздела с учетом: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а) общей тепловой мощности теплоисточников города Кемерово и вклада теплоснабжающих организаций в теплоснабжение потребителей городского округа в соответствии со схемой теплоснабжения города Кемерово, утвержденной приказом Министерства энергетики Российской Федерации от 09.08.2016 N 770, нормативами расхода тепловой энергии, используемой на подогрев холодной воды для предоставления коммунальной услуги по горячему водоснабжению на территории Кемеровской области, установленными Региональной энергетической комиссией Кемеровской области;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б) сложившейся системы магистрального газоснабжения города Кемерово, норматива потребления газа, используемого для отопления жилых помещений от газовых приборов, в размере 11,4 куб. м/кв. м в месяц при размещении сетей газораспределения и </w:t>
      </w:r>
      <w:proofErr w:type="spellStart"/>
      <w:r>
        <w:t>газопотребления</w:t>
      </w:r>
      <w:proofErr w:type="spellEnd"/>
      <w:r>
        <w:t xml:space="preserve"> в соответствии с требованиями технического </w:t>
      </w:r>
      <w:hyperlink r:id="rId17">
        <w:r>
          <w:rPr>
            <w:color w:val="0000FF"/>
          </w:rPr>
          <w:t>регламента</w:t>
        </w:r>
      </w:hyperlink>
      <w:r>
        <w:t xml:space="preserve">, утвержденного постановлением Правительства Российской Федерации от 29.10.2010 N 870 "Об утверждении технического регламента о безопасности сетей газораспределения и </w:t>
      </w:r>
      <w:proofErr w:type="spellStart"/>
      <w:r>
        <w:t>газопотребления</w:t>
      </w:r>
      <w:proofErr w:type="spellEnd"/>
      <w:r>
        <w:t>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в) системы водоснабжения городского округа, обеспеченности объектами холодного водоснабжения исходя из норматива потребления холодной воды для предоставления коммунальной услуги по горячему водоснабжению в жилом помещении на территории Кемеровской области, установленного Региональной энергетической комиссией Кемеровской области, при размещении сетей в соответствии с "СП 31.13330.2012. Свод правил. Водоснабжение. Наружные сети и сооружения. Актуализированная редакция СНиП 2.04.02-84*", утвержденным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29.12.2011 N 635/14;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г) норматива потребления коммунальных услуг по электроснабжению в многоквартирных домах, оборудованных стационарными электроплитами, вне отопительного периода (</w:t>
      </w:r>
      <w:proofErr w:type="spellStart"/>
      <w:r>
        <w:t>кВт.ч</w:t>
      </w:r>
      <w:proofErr w:type="spellEnd"/>
      <w:r>
        <w:t xml:space="preserve"> в месяц) при количестве проживающих: один человек - 130, не более трех человек - 100, пять человек и более - 80;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д) работы существующих канализационных станций и напорных коллекторов от них в соответствии с "СП 32.13330.2012. Свод правил. Канализация. Наружные сети и сооружения. Актуализированная редакция СНиП 2.04.03-85", утвержденным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29.12.2011 N 635/11.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3. Минимально допустимый уровень обеспеченности объектами местного значения в области автомобильных дорог в границах городского округа (автомобильные дороги местного значения и объекты транспортной инфраструктуры, необходимые для предоставления транспортных услуг населению и организации транспортного обслуживания населения в границах городского округа), а также максимально допустимый уровень территориальной доступности таких объектов установлены в соответствии с </w:t>
      </w:r>
      <w:hyperlink w:anchor="P260">
        <w:r>
          <w:rPr>
            <w:color w:val="0000FF"/>
          </w:rPr>
          <w:t>пунктом 1</w:t>
        </w:r>
      </w:hyperlink>
      <w:r>
        <w:t xml:space="preserve"> настоящего раздела на основании "СП 42.13330.2016. Свод правил. Градостроительство. Планировка и застройка городских и сельских поселений. Актуализированная редакция СНиП 2.07.01-89*", утвержденного </w:t>
      </w:r>
      <w:hyperlink r:id="rId20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30.12.2016 N 1034/</w:t>
      </w:r>
      <w:proofErr w:type="spellStart"/>
      <w:r>
        <w:t>пр</w:t>
      </w:r>
      <w:proofErr w:type="spellEnd"/>
      <w:r>
        <w:t xml:space="preserve"> (далее - СП 42.13330.2016) с учетом: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а) совокупного выпуска пассажирского транспорта (673 единицы) на городские автобусные (76, в том числе 10 сезонных), трамвайные (5), троллейбусные (9), а также таксомоторные (54, в том числе 1 сезонный) маршруты;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б) статистики регулярных перевозок на территории города Кемерово с использованием муниципальных маршрутов городского общественного транспорта;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в) велосипедные дорожки: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- специально выделенная полоса, предназначенная для движения велосипедного транспорта, которая может устраиваться на магистральных улицах общегородского значения 2-го и 3-го классов, районного значения и жилых улицах в составе поперечного профиля улично-дорожной сети;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- на рекреационных территориях в жилых зонах установлены в соответствии с табл. 11.5, 11.6 СП 42.13330.2016.</w:t>
      </w:r>
    </w:p>
    <w:p w:rsidR="00827D39" w:rsidRDefault="00827D39">
      <w:pPr>
        <w:pStyle w:val="ConsPlusNormal"/>
        <w:jc w:val="both"/>
      </w:pPr>
      <w:r>
        <w:lastRenderedPageBreak/>
        <w:t xml:space="preserve">(п. 3 в ред. </w:t>
      </w:r>
      <w:hyperlink r:id="rId2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30.09.2022 N 124)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4. Минимально допустимый уровень обеспеченности объектами местного значения в области физической культуры и массового спорта; образования; обработки, утилизации, обезвреживания, размещения твердых коммунальных отходов, а также максимально допустимый уровень территориальной доступности таких объектов установлены в соответствии с </w:t>
      </w:r>
      <w:hyperlink w:anchor="P260">
        <w:r>
          <w:rPr>
            <w:color w:val="0000FF"/>
          </w:rPr>
          <w:t>пунктом 1</w:t>
        </w:r>
      </w:hyperlink>
      <w:r>
        <w:t xml:space="preserve"> настоящего раздела на основании СП 42.13330.2016 с учетом: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а) сложившейся инфраструктуры спорта и статистики проведения в городе Кемерово всероссийских соревнований (20, ежегодно) и соревнований Сибирского федерального округа (25, ежегодно), культивируемых в городском округе видов спорта (79), в том числе олимпийских (21);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б) сложившейся муниципальной системы образования с учетом функционирования 171 дошкольной образовательной организации, 69 общеобразовательных организаций, 3 детских домов, потребности строительства объектов местного значения для размещения муниципальных образовательных организаций в районах комплексной жилой застройки в Центральном, Рудничном, Заводском, Ленинском районах, жилых районах Лесная Поляна, </w:t>
      </w:r>
      <w:proofErr w:type="spellStart"/>
      <w:r>
        <w:t>Ягуновский</w:t>
      </w:r>
      <w:proofErr w:type="spellEnd"/>
      <w:r>
        <w:t>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в) источников образования твердых коммунальных отходов в городе Кемерово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26.09.2016 N 367 "Об утверждении территориальной схемы обращения с отходами производства и потребления, в том числе с твердыми коммунальными отходами, Кемеровской области" с применением </w:t>
      </w:r>
      <w:hyperlink r:id="rId23">
        <w:r>
          <w:rPr>
            <w:color w:val="0000FF"/>
          </w:rPr>
          <w:t>норматива</w:t>
        </w:r>
      </w:hyperlink>
      <w:r>
        <w:t xml:space="preserve"> накопления твердых коммунальных отходов по категориям потребителей и категориям объектов, на которых образуются коммунальные отходы, установленного постановлением Региональной энергетической комиссии Кемеровской области от 27.04.2017 N 58 "Об установлении нормативов накопления твердых коммунальных отходов".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5. Минимально допустимый уровень обеспеченности объектами местного значения в иных областях, а также максимально допустимый уровень территориальной доступности таких объектов установлены в соответствии с </w:t>
      </w:r>
      <w:hyperlink w:anchor="P260">
        <w:r>
          <w:rPr>
            <w:color w:val="0000FF"/>
          </w:rPr>
          <w:t>пунктом 1</w:t>
        </w:r>
      </w:hyperlink>
      <w:r>
        <w:t xml:space="preserve"> настоящего раздела на основании норм расчета учреждений, организаций и предприятий обслуживания (приложение Д, СП 42.13330.2016) с учетом: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а) нормы предоставления площади жилого помещения по договору социального найма и размера общей площади жилого помещения, предоставляемого по договору найма жилого помещения жилищного фонда социального использования, установленных </w:t>
      </w:r>
      <w:hyperlink r:id="rId24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28.10.2005 N 274;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б) вместимости действующего муниципального архивного фонда, статистики потребности в единицах хранения, резерва приема документов;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в) </w:t>
      </w:r>
      <w:hyperlink r:id="rId25">
        <w:r>
          <w:rPr>
            <w:color w:val="0000FF"/>
          </w:rPr>
          <w:t>нормативов</w:t>
        </w:r>
      </w:hyperlink>
      <w:r>
        <w:t xml:space="preserve"> обеспеченности населения Кемеровской области услугами организаций культуры, утвержденными постановлением Коллегии Администрации Кемеровской области от 20.09.2017 N 495;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г) границ особо охраняемой природной территории местного значения "Природный комплекс Рудничный бор" согласно </w:t>
      </w:r>
      <w:hyperlink r:id="rId26">
        <w:r>
          <w:rPr>
            <w:color w:val="0000FF"/>
          </w:rPr>
          <w:t>решению</w:t>
        </w:r>
      </w:hyperlink>
      <w:r>
        <w:t xml:space="preserve"> Кемеровского городского Совета народных депутатов от 26.06.2015 N 420 "О создании особо охраняемой природной территории местного значения "Природный комплекс Рудничный бор";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д) </w:t>
      </w:r>
      <w:hyperlink r:id="rId27">
        <w:r>
          <w:rPr>
            <w:color w:val="0000FF"/>
          </w:rPr>
          <w:t>порядка</w:t>
        </w:r>
      </w:hyperlink>
      <w:r>
        <w:t xml:space="preserve"> оповещения и информирования населения города Кемерово об угрозе возникновения или возникновении чрезвычайных ситуаций мирного и военного времени согласно постановлению администрации города Кемерово от 27.12.2013 N 3892 "О своевременном оповещении и информировании населения города Кемерово об угрозе возникновения или возникновении чрезвычайных ситуаций мирного и военного времени";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е) </w:t>
      </w:r>
      <w:hyperlink r:id="rId28">
        <w:r>
          <w:rPr>
            <w:color w:val="0000FF"/>
          </w:rPr>
          <w:t>порядка</w:t>
        </w:r>
      </w:hyperlink>
      <w:r>
        <w:t xml:space="preserve"> создания убежищ, утвержденного постановлением Правительства Российской Федерации от 29.11.1999 N 1309 "О Порядке создания убежищ и иных объектов гражданской обороны", "СП 88.13330.2014. Свод правил. Защитные сооружения гражданской обороны. Актуализированная редакция СНиП II-11-77*", утвержденного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18.02.2014 N 59/</w:t>
      </w:r>
      <w:proofErr w:type="spellStart"/>
      <w:r>
        <w:t>пр</w:t>
      </w:r>
      <w:proofErr w:type="spellEnd"/>
      <w:r>
        <w:t>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ж) </w:t>
      </w:r>
      <w:hyperlink r:id="rId30">
        <w:r>
          <w:rPr>
            <w:color w:val="0000FF"/>
          </w:rPr>
          <w:t>положения</w:t>
        </w:r>
      </w:hyperlink>
      <w:r>
        <w:t xml:space="preserve"> о городском звене территориальной подсистемы Кемеровской области единой государственной системы предупреждения и ликвидации чрезвычайных ситуаций и перечня сил постоянной готовности городского звена территориальной подсистемы Кемеровской области </w:t>
      </w:r>
      <w:r>
        <w:lastRenderedPageBreak/>
        <w:t>единой государственной системы предупреждения и ликвидации чрезвычайных ситуаций, утвержденных постановлением администрации города Кемерово от 31.12.2014 N 3506 "О городском звене территориальной подсистемы Кемеровской области единой государственной системы предупреждения и ликвидации чрезвычайных ситуаций";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з) сведений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6. Минимально допустимый уровень обеспеченности объектами благоустройства, а также максимально допустимый уровень территориальной доступности таких объектов определены в соответствии с </w:t>
      </w:r>
      <w:hyperlink w:anchor="P260">
        <w:r>
          <w:rPr>
            <w:color w:val="0000FF"/>
          </w:rPr>
          <w:t>пунктом 1</w:t>
        </w:r>
      </w:hyperlink>
      <w:r>
        <w:t xml:space="preserve"> настоящего раздела на основании норм расчета стоянок автомобилей (приложение Ж, СП 42.13330.2016) с учетом требований: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а) "СП 160.1325800.2014. Свод правил. Здания и комплексы многофункциональные. Правила проектирования", утвержденного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07.08.2014 N 440/</w:t>
      </w:r>
      <w:proofErr w:type="spellStart"/>
      <w:r>
        <w:t>пр</w:t>
      </w:r>
      <w:proofErr w:type="spellEnd"/>
      <w:r>
        <w:t>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б) "СП 152.13330.2012. Свод правил. Здания судов общей юрисдикции. Правила проектирования", утвержденного приказом Федерального агентства по строительству и жилищно-коммунальному хозяйству от 25.12.2012 N 111/ГС;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в) "СП 228.1325800.2014. Свод правил. Здания и сооружения следственных органов. Правила проектирования", утвержденного </w:t>
      </w:r>
      <w:hyperlink r:id="rId3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26.12.2014 N 912/</w:t>
      </w:r>
      <w:proofErr w:type="spellStart"/>
      <w:r>
        <w:t>пр</w:t>
      </w:r>
      <w:proofErr w:type="spellEnd"/>
      <w:r>
        <w:t>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г) "СП 257.1325800.2016. Свод правил. Здания гостиниц. Правила проектирования", утвержденного </w:t>
      </w:r>
      <w:hyperlink r:id="rId33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20.10.2016 N 724/пр.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Title"/>
        <w:jc w:val="center"/>
        <w:outlineLvl w:val="1"/>
      </w:pPr>
      <w:r>
        <w:t>III. Правила и область применения расчетных показателей,</w:t>
      </w:r>
    </w:p>
    <w:p w:rsidR="00827D39" w:rsidRDefault="00827D39">
      <w:pPr>
        <w:pStyle w:val="ConsPlusTitle"/>
        <w:jc w:val="center"/>
      </w:pPr>
      <w:r>
        <w:t>содержащихся в основной части местных нормативов</w:t>
      </w:r>
    </w:p>
    <w:p w:rsidR="00827D39" w:rsidRDefault="00827D39">
      <w:pPr>
        <w:pStyle w:val="ConsPlusTitle"/>
        <w:jc w:val="center"/>
      </w:pPr>
      <w:r>
        <w:t>градостроительного проектирования города Кемерово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ind w:firstLine="540"/>
        <w:jc w:val="both"/>
      </w:pPr>
      <w:r>
        <w:t>1. Правила применения расчетных показателей минимально допустимого уровня обеспеченности объектами местного значения в области физической культуры и массового спорта; образования; обработки, утилизации, обезвреживания, размещения твердых коммунальных отходов, а также расчетных показателей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1.1. Расчетные показатели минимально допустимого уровня обеспеченности объектами, необходимыми для размещения муниципальных дошкольных образовательных организаций, применяются с учетом 70 - 100% охвата общей численности детей в возрасте от 1,5 до 6 лет, где 72 места на 1 тыс. человек - 100% охвата численности детей указанной возрастной группы.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1.2. Расчетные показатели минимально допустимого уровня обеспеченности объектами, необходимыми для размещения муниципальных общеобразовательных организаций, применяются с учетом 100% охвата общего числа школьников 1 - 9-х классов и 75 - 100% охвата общего числа школьников 10 - 11-х классов, где 110 мест на 1 тыс. человек - 100% охвата численности детей школьного возраста.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1.3. Для целей расчета количества мест в детских домах возраст детей, оставшихся без попечения родителей, принимается от 4 до 17 лет.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1.4. Вместимость дошкольных организаций в отдельно стоящих зданиях не рекомендуется свыше 350 мест, во встроенных в жилые дома помещениях - свыше 80 мест, во встроенно-пристроенных помещениях к жилым домам (или пристроенных) - свыше 150 мест.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2. Правила применения расчетных показателей минимально допустимого уровня обеспеченности объектами благоустройства, а также расчетных показателей максимально допустимого уровня территориальной доступности таких объектов для населения города Кемерово.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2.1. Места для временного хранения легковых автомобилей преимущественно размещаются в границах земельного участка, подлежащего застройке.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 xml:space="preserve">2.2. Расположение мест для парковки личного транспорта инвалидов следует </w:t>
      </w:r>
      <w:r>
        <w:lastRenderedPageBreak/>
        <w:t xml:space="preserve">предусматривать в соответствии с требованиями "СП 59.13330.2016. Свод правил. Доступность зданий и сооружений для маломобильных групп населения. Актуализированная редакция СНиП 35-01-2001", утвержденного </w:t>
      </w:r>
      <w:hyperlink r:id="rId34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14.11.2016 N 798/</w:t>
      </w:r>
      <w:proofErr w:type="spellStart"/>
      <w:r>
        <w:t>пр</w:t>
      </w:r>
      <w:proofErr w:type="spellEnd"/>
      <w:r>
        <w:t xml:space="preserve">, "СП 113.13330.2016. Свод правил. Стоянки автомобилей. Актуализированная редакция СНиП 21-02-99*", утвержденного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07.11.2016 N 776/пр.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2.3. При размещении парков и скверов следует максимально сохранять участки с существующими насаждениями и водоемами.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2.4. Размещение скверов микрорайонного значения необходимо предусматривать при разработке документации по планировке территории в соответствии с расчетными показателями минимально допустимого уровня обеспеченности.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3. Область применения расчетных показателей, содержащихся в основной части местных нормативов градостроительного проектирования города Кемерово.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Расчетные показатели, содержащиеся в основной части местных нормативов градостроительного проектирования города Кемерово, применяются: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а) при подготовке проекта генерального плана города, в том числе проекта о внесении изменений в генеральный план;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б) при подготовке документации по планировке территории;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в) при принятии решений о развитии застроенной территории;</w:t>
      </w:r>
    </w:p>
    <w:p w:rsidR="00827D39" w:rsidRDefault="00827D39">
      <w:pPr>
        <w:pStyle w:val="ConsPlusNormal"/>
        <w:spacing w:before="200"/>
        <w:ind w:firstLine="540"/>
        <w:jc w:val="both"/>
      </w:pPr>
      <w:r>
        <w:t>г) при подготовке градостроительного плана земельного участка.</w:t>
      </w: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jc w:val="both"/>
      </w:pPr>
    </w:p>
    <w:p w:rsidR="00827D39" w:rsidRDefault="00827D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E83" w:rsidRDefault="000F4E83"/>
    <w:sectPr w:rsidR="000F4E83" w:rsidSect="00AB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39"/>
    <w:rsid w:val="000F4E83"/>
    <w:rsid w:val="00625232"/>
    <w:rsid w:val="008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6276-15BE-4E72-942A-3D00B1CD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27D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27D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51F0A1B14107ACC83BB8F7F62041C061B2D8688D1EF50393BBA643DCCF8165D8D32A1DEF6C002FD0B4F742F60F74EBABADDC107868269B6C02FA03D171C" TargetMode="External"/><Relationship Id="rId18" Type="http://schemas.openxmlformats.org/officeDocument/2006/relationships/hyperlink" Target="consultantplus://offline/ref=1751F0A1B14107ACC83BA6FAE04C1DC567BF80638418F754CFEBA014839F87308A937444AD28132FD0AAF542F1D076C" TargetMode="External"/><Relationship Id="rId26" Type="http://schemas.openxmlformats.org/officeDocument/2006/relationships/hyperlink" Target="consultantplus://offline/ref=1751F0A1B14107ACC83BB8F7F62041C061B2D8688D1EF80197BCA643DCCF8165D8D32A1DFD6C5823D1B4E943F31A22BAEDDF7AC" TargetMode="External"/><Relationship Id="rId21" Type="http://schemas.openxmlformats.org/officeDocument/2006/relationships/hyperlink" Target="consultantplus://offline/ref=1751F0A1B14107ACC83BB8F7F62041C061B2D8688D1EF50393BBA643DCCF8165D8D32A1DEF6C002FD0B4F743F60F74EBABADDC107868269B6C02FA03D171C" TargetMode="External"/><Relationship Id="rId34" Type="http://schemas.openxmlformats.org/officeDocument/2006/relationships/hyperlink" Target="consultantplus://offline/ref=1751F0A1B14107ACC83BA6FAE04C1DC567BA81618415F754CFEBA014839F87308A937444AD28132FD0AAF542F1D076C" TargetMode="External"/><Relationship Id="rId7" Type="http://schemas.openxmlformats.org/officeDocument/2006/relationships/hyperlink" Target="consultantplus://offline/ref=1751F0A1B14107ACC83BB8F7F62041C061B2D8688D1EFB0490BEA643DCCF8165D8D32A1DEF6C002FD0B4FE45F50F74EBABADDC107868269B6C02FA03D171C" TargetMode="External"/><Relationship Id="rId12" Type="http://schemas.openxmlformats.org/officeDocument/2006/relationships/hyperlink" Target="consultantplus://offline/ref=1751F0A1B14107ACC83BB8F7F62041C061B2D868891CFB039AB4FB49D4968D67DFDC7518E87D002FD0AAF642ED0620B8DE7DC" TargetMode="External"/><Relationship Id="rId17" Type="http://schemas.openxmlformats.org/officeDocument/2006/relationships/hyperlink" Target="consultantplus://offline/ref=1751F0A1B14107ACC83BA6FAE04C1DC566B8856C8E1CF754CFEBA014839F873098932C48AC280D2FD1BFA313B7512DBBEFE6D01166742799D770C" TargetMode="External"/><Relationship Id="rId25" Type="http://schemas.openxmlformats.org/officeDocument/2006/relationships/hyperlink" Target="consultantplus://offline/ref=1751F0A1B14107ACC83BB8F7F62041C061B2D868841FF80494B4FB49D4968D67DFDC750AE8250C2ED0B4F642F85071FEBAF5D011667727857000F8D073C" TargetMode="External"/><Relationship Id="rId33" Type="http://schemas.openxmlformats.org/officeDocument/2006/relationships/hyperlink" Target="consultantplus://offline/ref=1751F0A1B14107ACC83BA6FAE04C1DC567BE80618D1AF754CFEBA014839F87308A937444AD28132FD0AAF542F1D07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1F0A1B14107ACC83BB8F7F62041C061B2D868881BFC0597B4FB49D4968D67DFDC7518E87D002FD0AAF642ED0620B8DE7DC" TargetMode="External"/><Relationship Id="rId20" Type="http://schemas.openxmlformats.org/officeDocument/2006/relationships/hyperlink" Target="consultantplus://offline/ref=1751F0A1B14107ACC83BA6FAE04C1DC567BB86638E1DF754CFEBA014839F87308A937444AD28132FD0AAF542F1D076C" TargetMode="External"/><Relationship Id="rId29" Type="http://schemas.openxmlformats.org/officeDocument/2006/relationships/hyperlink" Target="consultantplus://offline/ref=1751F0A1B14107ACC83BA6FAE04C1DC567BE86648D1AF754CFEBA014839F87308A937444AD28132FD0AAF542F1D07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F0A1B14107ACC83BA6FAE04C1DC561B981678C14F754CFEBA014839F873098932C48AC29052BD7BFA313B7512DBBEFE6D01166742799D770C" TargetMode="External"/><Relationship Id="rId11" Type="http://schemas.openxmlformats.org/officeDocument/2006/relationships/hyperlink" Target="consultantplus://offline/ref=1751F0A1B14107ACC83BB8F7F62041C061B2D8688E19F8059AB4FB49D4968D67DFDC7518E87D002FD0AAF642ED0620B8DE7DC" TargetMode="External"/><Relationship Id="rId24" Type="http://schemas.openxmlformats.org/officeDocument/2006/relationships/hyperlink" Target="consultantplus://offline/ref=1751F0A1B14107ACC83BB8F7F62041C061B2D8688A15F50B9BB4FB49D4968D67DFDC7518E87D002FD0AAF642ED0620B8DE7DC" TargetMode="External"/><Relationship Id="rId32" Type="http://schemas.openxmlformats.org/officeDocument/2006/relationships/hyperlink" Target="consultantplus://offline/ref=1751F0A1B14107ACC83BA6FAE04C1DC567BE87678B1FF754CFEBA014839F87308A937444AD28132FD0AAF542F1D076C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751F0A1B14107ACC83BA6FAE04C1DC561B9836D8F1EF754CFEBA014839F873098932C4FAD2E067A81F0A24FF2043EBBEFE6D3117AD774C" TargetMode="External"/><Relationship Id="rId15" Type="http://schemas.openxmlformats.org/officeDocument/2006/relationships/hyperlink" Target="consultantplus://offline/ref=1751F0A1B14107ACC83BB8F7F62041C061B2D8688B14FA0192B4FB49D4968D67DFDC750AE8250C2ED4BCFE44F85071FEBAF5D011667727857000F8D073C" TargetMode="External"/><Relationship Id="rId23" Type="http://schemas.openxmlformats.org/officeDocument/2006/relationships/hyperlink" Target="consultantplus://offline/ref=1751F0A1B14107ACC83BB8F7F62041C061B2D8688D1DF40791BAA643DCCF8165D8D32A1DEF6C002FD0B4F743F30F74EBABADDC107868269B6C02FA03D171C" TargetMode="External"/><Relationship Id="rId28" Type="http://schemas.openxmlformats.org/officeDocument/2006/relationships/hyperlink" Target="consultantplus://offline/ref=1751F0A1B14107ACC83BA6FAE04C1DC566BA8062891BF754CFEBA014839F873098932C48AC280D2ED9BFA313B7512DBBEFE6D01166742799D770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751F0A1B14107ACC83BB8F7F62041C061B2D868891CF40596B4FB49D4968D67DFDC7518E87D002FD0AAF642ED0620B8DE7DC" TargetMode="External"/><Relationship Id="rId19" Type="http://schemas.openxmlformats.org/officeDocument/2006/relationships/hyperlink" Target="consultantplus://offline/ref=1751F0A1B14107ACC83BA6FAE04C1DC567BF80608915F754CFEBA014839F87308A937444AD28132FD0AAF542F1D076C" TargetMode="External"/><Relationship Id="rId31" Type="http://schemas.openxmlformats.org/officeDocument/2006/relationships/hyperlink" Target="consultantplus://offline/ref=1751F0A1B14107ACC83BA6FAE04C1DC567BE86608D1DF754CFEBA014839F87308A937444AD28132FD0AAF542F1D076C" TargetMode="External"/><Relationship Id="rId4" Type="http://schemas.openxmlformats.org/officeDocument/2006/relationships/hyperlink" Target="consultantplus://offline/ref=1751F0A1B14107ACC83BB8F7F62041C061B2D8688D1EF50393BBA643DCCF8165D8D32A1DEF6C002FD0B4F742F60F74EBABADDC107868269B6C02FA03D171C" TargetMode="External"/><Relationship Id="rId9" Type="http://schemas.openxmlformats.org/officeDocument/2006/relationships/hyperlink" Target="consultantplus://offline/ref=1751F0A1B14107ACC83BB8F7F62041C061B2D8688518FB009BB4FB49D4968D67DFDC750AE8250C2ED0B4F24AF85071FEBAF5D011667727857000F8D073C" TargetMode="External"/><Relationship Id="rId14" Type="http://schemas.openxmlformats.org/officeDocument/2006/relationships/hyperlink" Target="consultantplus://offline/ref=1751F0A1B14107ACC83BB8F7F62041C061B2D8688D1EF50393BBA643DCCF8165D8D32A1DEF6C002FD0B4F742F50F74EBABADDC107868269B6C02FA03D171C" TargetMode="External"/><Relationship Id="rId22" Type="http://schemas.openxmlformats.org/officeDocument/2006/relationships/hyperlink" Target="consultantplus://offline/ref=1751F0A1B14107ACC83BB8F7F62041C061B2D8688D1CFE0795BAA643DCCF8165D8D32A1DFD6C5823D1B4E943F31A22BAEDDF7AC" TargetMode="External"/><Relationship Id="rId27" Type="http://schemas.openxmlformats.org/officeDocument/2006/relationships/hyperlink" Target="consultantplus://offline/ref=1751F0A1B14107ACC83BB8F7F62041C061B2D8688918F50395B4FB49D4968D67DFDC750AE8250C2ED0B4F147F85071FEBAF5D011667727857000F8D073C" TargetMode="External"/><Relationship Id="rId30" Type="http://schemas.openxmlformats.org/officeDocument/2006/relationships/hyperlink" Target="consultantplus://offline/ref=1751F0A1B14107ACC83BB8F7F62041C061B2D8688A1EFA0692B4FB49D4968D67DFDC750AE8250C2ED0B4F640F85071FEBAF5D011667727857000F8D073C" TargetMode="External"/><Relationship Id="rId35" Type="http://schemas.openxmlformats.org/officeDocument/2006/relationships/hyperlink" Target="consultantplus://offline/ref=1751F0A1B14107ACC83BA6FAE04C1DC567BA816D841FF754CFEBA014839F87308A937444AD28132FD0AAF542F1D076C" TargetMode="External"/><Relationship Id="rId8" Type="http://schemas.openxmlformats.org/officeDocument/2006/relationships/hyperlink" Target="consultantplus://offline/ref=1751F0A1B14107ACC83BB8F7F62041C061B2D8688D1CFB0696B6A643DCCF8165D8D32A1DEF6C002FD0B4F74BF20F74EBABADDC107868269B6C02FA03D171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GorSov3</dc:creator>
  <cp:keywords/>
  <dc:description/>
  <cp:lastModifiedBy>Есипова Екатерина Владимировна</cp:lastModifiedBy>
  <cp:revision>2</cp:revision>
  <dcterms:created xsi:type="dcterms:W3CDTF">2022-10-10T02:59:00Z</dcterms:created>
  <dcterms:modified xsi:type="dcterms:W3CDTF">2022-10-17T03:47:00Z</dcterms:modified>
</cp:coreProperties>
</file>