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D73D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Пояснительная записка по исполнению в 2016 году муниципальной программы «Образование города Кемерово» на 2015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>2019 годы.</w:t>
      </w:r>
    </w:p>
    <w:p w14:paraId="4A6B2EF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CF520C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 программы – обеспечение условий  для  устойчивого развития муниципальной системы образования, отвечающей запросам населения   города Кемерово, и направленной на расширение доступности   и достижение современного качества образования. Цель достигается путем решения поставленных задач муниципальной программы.</w:t>
      </w:r>
    </w:p>
    <w:p w14:paraId="32F75FD7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муниципальной программы на 2016 год составил – 7 066 182,8 тыс. руб. (факт 6 826 585,1 тыс. руб.), из них по источникам:</w:t>
      </w:r>
    </w:p>
    <w:p w14:paraId="57248402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областной бюджет 4 672 921,3 тыс. руб. (факт 4 501 713,7 тыс. руб.)</w:t>
      </w:r>
    </w:p>
    <w:p w14:paraId="2EE936D1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местный бюджет 2 393 261,5 тыс. руб. (факт 2 324 871,4 тыс. руб.)</w:t>
      </w:r>
    </w:p>
    <w:p w14:paraId="43E8AD9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</w:p>
    <w:p w14:paraId="50586680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программа включает в себя реализацию 4 подпрограмм:</w:t>
      </w:r>
    </w:p>
    <w:p w14:paraId="6A6124D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  Подпрограмма «Развитие дошкольного, общего образования и дополнительного образования детей».</w:t>
      </w:r>
    </w:p>
    <w:p w14:paraId="2BD08031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подпрограммы составил – 6 191 760,1 тыс. руб. (факт 5 960 538,3 тыс. руб.), из них по источникам:</w:t>
      </w:r>
    </w:p>
    <w:p w14:paraId="78D290F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областной бюджет 3 840 561,2 тыс. руб. (факт 3 677 700,0 тыс. руб.)</w:t>
      </w:r>
    </w:p>
    <w:p w14:paraId="41106AA3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местный бюджет 2 351 198,9 тыс. руб. (факт 2 282 838,3 тыс. руб.)</w:t>
      </w:r>
    </w:p>
    <w:p w14:paraId="2DD7C276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 1.1. «Обеспечение государственных гарантий реализации прав граждан на получение общедоступного  и бесплатного дошкольного образования в муниципальных дошкольных образовательных  учреждениях и обеспечение их деятельности» позволила выполнить следующие показатели (индикаторы):</w:t>
      </w:r>
    </w:p>
    <w:p w14:paraId="494BFB23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детей 3-7 лет, которым предоставлена возможность получать услуги дошкольного образования, остается на достигнутом уровне 100%.</w:t>
      </w:r>
    </w:p>
    <w:p w14:paraId="02EE587E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Увеличилась доля детей от 1 до 6 лет, получающих дошкольную образовательную услугу. Показатель достиг значения 77,6% от общей численности детей в возрасте от 1 до 6 лет (30 156 детей данного возраста охвачены дошкольным образованием, на 31.12.2015 только 29 138 ребенка получали образовательные услуги или услуги по содержанию детей в муниципальных детских садах). Выполнение показателя произошло за счет проведения мероприятий по уплотнению и доукомплектованию групп в 2016 году.</w:t>
      </w:r>
    </w:p>
    <w:p w14:paraId="0CC58709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Остается на уровне 100 % значение показателя доля муниципальных образовательных учреждений дошкольного образования, реализующих  программы, соответствующим федеральным государственным образовательным стандартам.</w:t>
      </w:r>
    </w:p>
    <w:p w14:paraId="10DA0CA9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100,8 %.</w:t>
      </w:r>
    </w:p>
    <w:p w14:paraId="18247632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мероприятий  1.2. «Обеспечение государственных гарантий  реализации прав граждан на получение общедоступного и бесплатного 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 и 1.3. «Развитие единого образовательного пространства, повышение качества образовательных результатов» позволила выполнить следующие показатели (индикаторы):</w:t>
      </w:r>
    </w:p>
    <w:p w14:paraId="49D7195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  в 10 процентах школ с худшими результатам единого государственного экзамена снизилось до 1,35 по русскому языку, что характеризует положительную динамику.</w:t>
      </w:r>
    </w:p>
    <w:p w14:paraId="5BF41780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выпускников муниципальных общеобразовательных учреждений, 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 составила 0,5%.</w:t>
      </w:r>
    </w:p>
    <w:p w14:paraId="3E367971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Отношение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99,1%.</w:t>
      </w:r>
    </w:p>
    <w:p w14:paraId="4ADDCC20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1.4. «Обеспечение деятельности муниципальных учреждений  дополнительного образования» позволила выполнить следующие показатели (индикаторы):</w:t>
      </w:r>
    </w:p>
    <w:p w14:paraId="39ECCCEE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Доля детей в возрасте 5-18 лет, получающих услуги по дополнительному образованию в муниципальных образовательных  учреждениях, подведомственных управлению образования достигла 48,4% (37637 детей охвачены услугами дополнительного образования учреждений управления образования в общем количестве 77702 ребенка).</w:t>
      </w:r>
    </w:p>
    <w:p w14:paraId="4C7E901D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достигло 97,3%.</w:t>
      </w:r>
    </w:p>
    <w:p w14:paraId="2E6B9795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1.5. «Обеспечение образовательной деятельности образовательных организаций по адаптированным общеобразовательным программам» позволила выполнить следующий показатель (индикатор):</w:t>
      </w:r>
    </w:p>
    <w:p w14:paraId="70A2E9F2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100 % детей с ограниченными возможностями здоровья и детей-инвалидов, обучаются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обучение.</w:t>
      </w:r>
    </w:p>
    <w:p w14:paraId="34F5D94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1.6. «Обеспечение деятельности прочих муниципальных учреждений, оказывающих услуги  муниципальным образовательным учреждениям» позволила выполнить следующий показатель (индикатор):</w:t>
      </w:r>
    </w:p>
    <w:p w14:paraId="569E70DB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школьников, получающих горячее питание, в общей численности школьников, посещающих муниципальные общеобразовательные учреждения, составила 90 %.</w:t>
      </w:r>
    </w:p>
    <w:p w14:paraId="175C7480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мероприятий 1.7. «Обеспечение деятельности по содержанию организаций  для детей – сирот и детей, оставшихся без попечения родителей», 1.8. «Обеспечение психолого-педагогической, медицинской  и социальной помощи обучающимся, испытывающим трудности  в освоении основных общеобразовательных программ, развитии  и социальной адаптации» позволила выполнить следующий показатель (индикатор):</w:t>
      </w:r>
    </w:p>
    <w:p w14:paraId="50EE1E67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детей, оставшихся  без попечения родителей, в том числе 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97,9%. По итогам 2016 года численность детей-сирот обучающихся и воспитывающихся в учреждениях для детей-сирот и детей, оставшихся без попечения родителей, сократилась до 224 человек (на 01.01.16 – 275 человек).</w:t>
      </w:r>
    </w:p>
    <w:p w14:paraId="5A112F55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1.9. «Обеспечение научно-методического сопровождения деятельности муниципальных образовательных учреждений»  позволила выполнить следующие показатели (индикаторы):</w:t>
      </w:r>
    </w:p>
    <w:p w14:paraId="6051A88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образования, достигла 72%.</w:t>
      </w:r>
    </w:p>
    <w:p w14:paraId="37BACB96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образования, достигла 79 %.</w:t>
      </w:r>
    </w:p>
    <w:p w14:paraId="1421081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1.10. «Обеспечение деятельности централизованной бухгалтерии, оказывающей услуги муниципальным образовательным учреждениям»  позволила выполнить следующий показатель (индикатор):</w:t>
      </w:r>
    </w:p>
    <w:p w14:paraId="524048F3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по ведению бухгалтерского и налогового учета по поручению получателей субсидии - 242 учреждения и предоставлению бюджетной отчетности главного распорядителя бюджетных средств - 282 учреждения.</w:t>
      </w:r>
    </w:p>
    <w:p w14:paraId="073B700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1.11. «Обеспечение образовательной деятельности организаций для детей-сирот и детей, оставшихся без попечения родителей» позволила выполнить следующий показатель (индикатор):</w:t>
      </w:r>
    </w:p>
    <w:p w14:paraId="0E4505D9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100 % выпускников МБОУ «Общеобразовательная школа-интернат психолого-педагогической поддержки №27» трудоустроены и (или) социализированы.</w:t>
      </w:r>
    </w:p>
    <w:p w14:paraId="08FE18B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Мероприятие 1.12. «Профилактика безнадзорности и правонарушений несовершеннолетних» запланировано и будет реализовано в 2017 году, значение целевого показателя в 2016 году для этого мероприятия отсутствует.</w:t>
      </w:r>
    </w:p>
    <w:p w14:paraId="170812BC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1.13. «Реализация мероприятий государственной программы Российской Федерации "Доступная среда" на 2011-2020 годы» позволила выполнить следующий показатель (индикатор):</w:t>
      </w:r>
    </w:p>
    <w:p w14:paraId="2BC36461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Доля учреждений общего образования, в которых создана универсальная безбарьерная среда для инклюзивного образования детей-инвалидов, в общем количестве учреждений общего образования составила 22,1 %. В 2016 году в рамках мероприятия по созданию условий для маломобильных групп населения выполнены работы в МБОУ  для детей с нарушением зрения "Общеобразовательная школа №20".</w:t>
      </w:r>
    </w:p>
    <w:p w14:paraId="01EEABEB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45FF35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Подпрограмма «Социальные гарантии в системе образования».</w:t>
      </w:r>
    </w:p>
    <w:p w14:paraId="645C6DDE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подпрограммы составил – 220 048,1 тыс. руб. (факт 218 627,3 тыс. руб.), из них по источникам:</w:t>
      </w:r>
    </w:p>
    <w:p w14:paraId="48EFD7C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областной бюджет 211 170,6 тыс. руб. (факт 209 779,1 тыс. руб.)</w:t>
      </w:r>
    </w:p>
    <w:p w14:paraId="3435F05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местный бюджет 8 877,5 тыс. руб. (факт 8 848,2 тыс. руб.)</w:t>
      </w:r>
    </w:p>
    <w:p w14:paraId="14522DE6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мероприятий 2.1. «Адресная социальная поддержка участников образовательного процесса», 2.2. «Социальная поддержка работников образовательных организаций и реализация мероприятий по привлечению молодых специалистов» позволила выполнить следующий показатель (индикатор):</w:t>
      </w:r>
    </w:p>
    <w:p w14:paraId="2FB7806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Охват 100%  участников образовательных отношений, нуждающихся в социальной поддержке, путем проведения акций «Первое сентября - каждому школьнику», «Дневник первоклассника», выплат социальных пособий молодым специалистам. В рамках акции «Первое сентября - каждому школьнику» 416 детей из малообеспеченных семей и 38 многодетных семей обеспечены школьными принадлежностями, одеждой, обувью. Количество первоклассников обеспеченных дневниками - 6950 человек.</w:t>
      </w:r>
    </w:p>
    <w:p w14:paraId="2DC6FECA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мероприятий 2.3. «Выплата единовременного пособия при всех формах устройства детей, лишенных родительского попечения, в семью», 2.4. «Социальная поддержка граждан при всех формах устройства детей, лишенных родительского попечения, в семью» позволила выполнить следующий показатель (индикатор):</w:t>
      </w:r>
    </w:p>
    <w:p w14:paraId="46294467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детей-сирот и детей оставшихся  без попечения родителей, переданных в семьи граждан составила 86%.</w:t>
      </w:r>
    </w:p>
    <w:p w14:paraId="38320606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мероприятий 2.5.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организаций», 2.6.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  организациях», 2.7. «Обеспечение зачисления денежных средств для детей-сирот и детей, оставшихся без попечения родителей, на специальные накопительные банковские счета» позволила выполнить следующий показатель (индикатор):</w:t>
      </w:r>
    </w:p>
    <w:p w14:paraId="721DEF8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Охват мерами социальной поддержки 100% детей-сирот и детей, оставшихся без попечения родителей. Указанные выше меры создали благоприятные условия для детей и законных представителей, нуждающихся в оказании социальной поддержки.</w:t>
      </w:r>
    </w:p>
    <w:p w14:paraId="017A84E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2.8. Мероприятие «Предоставление проезда отдельным категориям обучающихся» позволила выполнить следующий показатель (индикатор):</w:t>
      </w:r>
    </w:p>
    <w:p w14:paraId="544965C3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обучающихся, получивших социальную поддержку достигла 100 % в результате обеспечения проездными билетами отличников учебы.</w:t>
      </w:r>
    </w:p>
    <w:p w14:paraId="1ED1CD7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Мероприятие 2.9. «Социальная выплата для улучшения жилищных условий семьям усыновителей, которые усыновили и (или) удочерили детей-сирот и (или) детей, оставшихся без попечения родителей, из числа детей-инвалидов» запланировано и будет реализовано в 2017 году, значение целевого показателя в 2016 году для этого мероприятия отсутствует.</w:t>
      </w:r>
    </w:p>
    <w:p w14:paraId="71C55667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A90A262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Подпрограмма  «Организация отдыха, оздоровления и занятости детей  и подростков в каникулярное время».</w:t>
      </w:r>
    </w:p>
    <w:p w14:paraId="59B251E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подпрограммы составил – 59 849,3 тыс. руб. (факт 52 894,2 тыс. руб.), из них по источникам:</w:t>
      </w:r>
    </w:p>
    <w:p w14:paraId="28FD15FD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областной бюджет 37 074,0 тыс. руб. (факт 30 119,1 тыс. руб.)</w:t>
      </w:r>
    </w:p>
    <w:p w14:paraId="1041432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местный бюджет 22 775,3 тыс. руб. (факт 22 775,1 тыс. руб.)</w:t>
      </w:r>
    </w:p>
    <w:p w14:paraId="32BB255C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Реализация мероприятий 3.1. «Организация оздоровления детей в летнее время», 3.2. «Обеспечение трудоустройства и занятости детей, оставшихся в городе в летнее время», 3.3. «Перевозка детей  между субъектами Российской Федерации, а также в пределах территории </w:t>
      </w:r>
      <w:r>
        <w:rPr>
          <w:rFonts w:ascii="Arial" w:hAnsi="Arial" w:cs="Arial"/>
          <w:color w:val="000000"/>
          <w:sz w:val="20"/>
          <w:szCs w:val="20"/>
        </w:rPr>
        <w:lastRenderedPageBreak/>
        <w:t>государств – участников Содружества Независимых государств железнодорожным транспортом к месту отдыха и оздоровления в летний период» отвечает за следующий показатель (индикатор):</w:t>
      </w:r>
    </w:p>
    <w:p w14:paraId="5095189B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Удельный вес численности обучающихся по программам общего образования, охваченных организованными  формами труда и отдыха в летние каникулы, в общей численности обучающихся по программам общего образования составил 50%.</w:t>
      </w:r>
    </w:p>
    <w:p w14:paraId="02DDD88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C7EA24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Подпрограмма «Финансовое обеспечение мероприятий муниципальной программы».</w:t>
      </w:r>
    </w:p>
    <w:p w14:paraId="776E24AB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подпрограммы составил – 594 525,3 тыс. руб. (факт 594 525,3 тыс. руб.), из них по источникам:</w:t>
      </w:r>
    </w:p>
    <w:p w14:paraId="5781B0CD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областной бюджет 584 115,5 тыс. руб. (факт 584 115,5 тыс. руб.)</w:t>
      </w:r>
    </w:p>
    <w:p w14:paraId="25688BE8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left="600"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 местный бюджет 10 409,8 тыс. руб. (факт 10 409,8 тыс. руб.)</w:t>
      </w:r>
    </w:p>
    <w:p w14:paraId="36CBF82E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4.1. «Модернизация инфраструктуры общего образования» позволила выполнить следующий показатель (индикатор):</w:t>
      </w:r>
    </w:p>
    <w:p w14:paraId="49FCDFB1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городе Кемерово создано 1050 новых мест в общеобразовательных учреждениях в соответствии с прогнозируемой потребностью и современными требованиями к условиям. В 2016 году введена в действие в полном объеме МАОУ «Средняя общеобразовательная школа № 85» дополнительно на 750 мест. В школе № 34 введен в эксплуатацию  дополнительный учебный корпус для начальных классов на 300 учащихся с цифровым оборудованием.</w:t>
      </w:r>
    </w:p>
    <w:p w14:paraId="051E611F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  4.2. «Оптимизация загруженности общеобразовательных учреждений» позволила выполнить следующий показатель (индикатор):</w:t>
      </w:r>
    </w:p>
    <w:p w14:paraId="7980913D" w14:textId="77777777" w:rsidR="006A661C" w:rsidRDefault="006A661C" w:rsidP="006A661C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Удельный вес численности обучающихся, занимающихся  в первую смену, в общей численности обучающихся общеобразовательных учреждений достиг 71, 4%.</w:t>
      </w:r>
    </w:p>
    <w:p w14:paraId="0B4826D9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0"/>
    <w:rsid w:val="00062A30"/>
    <w:rsid w:val="006A661C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48B9-470A-4945-BCC0-DACF0BAF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2019-06-28T11:25:00Z</dcterms:created>
  <dcterms:modified xsi:type="dcterms:W3CDTF">2019-06-28T11:25:00Z</dcterms:modified>
</cp:coreProperties>
</file>