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6B" w:rsidRDefault="002D276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2D276B" w:rsidRDefault="002D276B">
      <w:pPr>
        <w:spacing w:after="1" w:line="220" w:lineRule="atLeast"/>
        <w:jc w:val="both"/>
        <w:outlineLvl w:val="0"/>
      </w:pPr>
    </w:p>
    <w:p w:rsidR="002D276B" w:rsidRDefault="002D276B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КЕМЕРОВСКИЙ ГОРОДСКОЙ СОВЕТ НАРОДНЫХ ДЕПУТАТОВ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(пятый созыв, шестое заседание)</w:t>
      </w:r>
    </w:p>
    <w:p w:rsidR="002D276B" w:rsidRDefault="002D276B">
      <w:pPr>
        <w:spacing w:after="1" w:line="220" w:lineRule="atLeast"/>
        <w:jc w:val="center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РЕШЕНИЕ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24 июня 2011 г. N 36</w:t>
      </w:r>
    </w:p>
    <w:p w:rsidR="002D276B" w:rsidRDefault="002D276B">
      <w:pPr>
        <w:spacing w:after="1" w:line="220" w:lineRule="atLeast"/>
        <w:jc w:val="center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ГЕНЕРАЛЬНОГО ПЛАНА ГОРОДА КЕМЕРОВО</w:t>
      </w:r>
    </w:p>
    <w:p w:rsidR="002D276B" w:rsidRDefault="002D2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решений Кемеровского городского Совета народных депутатов</w:t>
            </w:r>
          </w:p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26.04.2013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230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30.01.2015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387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26.06.2015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422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29.06.2017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77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30.01.2018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116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01.06.2018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138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28.09.2018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160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31.05.2019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233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27.09.2019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259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(ред. 28.02.2020), от 30.10.2020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354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26.03.2021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408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29.09.2021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11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25.03.2022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73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31.03.2023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172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 изм., внесенными решениями Кемеровского городского</w:t>
            </w:r>
          </w:p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Совета народных депутатов</w:t>
            </w:r>
          </w:p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24.06.2016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501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26.06.2020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330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30.09.2022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122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30.06.2023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197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27.10.2023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217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24" w:history="1">
        <w:r>
          <w:rPr>
            <w:rFonts w:ascii="Calibri" w:hAnsi="Calibri" w:cs="Calibri"/>
            <w:color w:val="0000FF"/>
          </w:rPr>
          <w:t>статьями 23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2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Кемерово, на основании протокола публичных слушаний по проекту генерального плана города Кемерово и заключения о результатах публичных слушаний, Кемеровский городской Совет народных депутатов решил: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 генеральный план города Кемерово до 2032 года в составе: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hyperlink w:anchor="P5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территориальном планировании согласно приложению N 1.</w:t>
      </w:r>
    </w:p>
    <w:p w:rsidR="002D276B" w:rsidRDefault="002D2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76B" w:rsidRDefault="002D276B">
            <w:pPr>
              <w:spacing w:after="1" w:line="220" w:lineRule="atLeast"/>
              <w:jc w:val="both"/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Кемеровского городского Совета народных депутатов от 25.03.2022 N 73 приложения 2.3, 2.4 исключены.</w:t>
            </w:r>
          </w:p>
        </w:tc>
      </w:tr>
    </w:tbl>
    <w:p w:rsidR="002D276B" w:rsidRDefault="002D276B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Исключен. - </w:t>
      </w:r>
      <w:hyperlink r:id="rId2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25.03.2022 N 73.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</w:t>
      </w:r>
      <w:hyperlink w:anchor="P268" w:history="1">
        <w:r>
          <w:rPr>
            <w:rFonts w:ascii="Calibri" w:hAnsi="Calibri" w:cs="Calibri"/>
            <w:color w:val="0000FF"/>
          </w:rPr>
          <w:t>Карта</w:t>
        </w:r>
      </w:hyperlink>
      <w:r>
        <w:rPr>
          <w:rFonts w:ascii="Calibri" w:hAnsi="Calibri" w:cs="Calibri"/>
        </w:rPr>
        <w:t xml:space="preserve"> границ населенного пункта города Кемерово согласно приложению N 2.</w:t>
      </w:r>
    </w:p>
    <w:p w:rsidR="002D276B" w:rsidRDefault="002D276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1.3 в ред. </w:t>
      </w:r>
      <w:hyperlink r:id="rId3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31.03.2023 N 172)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 </w:t>
      </w:r>
      <w:hyperlink w:anchor="P297" w:history="1">
        <w:r>
          <w:rPr>
            <w:rFonts w:ascii="Calibri" w:hAnsi="Calibri" w:cs="Calibri"/>
            <w:color w:val="0000FF"/>
          </w:rPr>
          <w:t>Карта</w:t>
        </w:r>
      </w:hyperlink>
      <w:r>
        <w:rPr>
          <w:rFonts w:ascii="Calibri" w:hAnsi="Calibri" w:cs="Calibri"/>
        </w:rPr>
        <w:t xml:space="preserve"> функциональных зон города Кемерово согласно приложению N 3.</w:t>
      </w:r>
    </w:p>
    <w:p w:rsidR="002D276B" w:rsidRDefault="002D276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1.4 в ред. </w:t>
      </w:r>
      <w:hyperlink r:id="rId3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31.03.2023 N 172)</w:t>
      </w:r>
    </w:p>
    <w:p w:rsidR="002D276B" w:rsidRDefault="002D276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 в ред. </w:t>
      </w:r>
      <w:hyperlink r:id="rId3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29.06.2017 N 77)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2 - 2.18. Исключены. - </w:t>
      </w:r>
      <w:hyperlink r:id="rId3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29.06.2017 N 77.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Опубликовать настоящее решение в печатных средствах массовой информации, за исключением приложений N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2.3, 2.4, которые содержат сведения, составляющие государственную тайну в соответствии с </w:t>
      </w:r>
      <w:hyperlink r:id="rId3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30.11.1995 N </w:t>
      </w:r>
      <w:r>
        <w:rPr>
          <w:rFonts w:ascii="Calibri" w:hAnsi="Calibri" w:cs="Calibri"/>
        </w:rPr>
        <w:lastRenderedPageBreak/>
        <w:t xml:space="preserve">1203 "Об утверждении Перечня сведений, отнесенных к государственной тайне", Приказом </w:t>
      </w:r>
      <w:proofErr w:type="spellStart"/>
      <w:r>
        <w:rPr>
          <w:rFonts w:ascii="Calibri" w:hAnsi="Calibri" w:cs="Calibri"/>
        </w:rPr>
        <w:t>Роскартографии</w:t>
      </w:r>
      <w:proofErr w:type="spellEnd"/>
      <w:r>
        <w:rPr>
          <w:rFonts w:ascii="Calibri" w:hAnsi="Calibri" w:cs="Calibri"/>
        </w:rPr>
        <w:t xml:space="preserve"> от 14.12.2000 N 181-пр "Об утверждении и введении в действие Перечня объектов местности, запрещенных для открытого опубликования".</w:t>
      </w:r>
    </w:p>
    <w:p w:rsidR="002D276B" w:rsidRDefault="002D276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29.06.2017 N 77)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Настоящее решение вступает в силу после его опубликования.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Контроль за исполнением данного решения возложить на комитеты Кемеровского городского Совета народных депутатов по развитию местного самоуправления и безопасности (</w:t>
      </w:r>
      <w:proofErr w:type="spellStart"/>
      <w:r>
        <w:rPr>
          <w:rFonts w:ascii="Calibri" w:hAnsi="Calibri" w:cs="Calibri"/>
        </w:rPr>
        <w:t>А.А.Курасов</w:t>
      </w:r>
      <w:proofErr w:type="spellEnd"/>
      <w:r>
        <w:rPr>
          <w:rFonts w:ascii="Calibri" w:hAnsi="Calibri" w:cs="Calibri"/>
        </w:rPr>
        <w:t>), по развитию городского хозяйства (</w:t>
      </w:r>
      <w:proofErr w:type="spellStart"/>
      <w:r>
        <w:rPr>
          <w:rFonts w:ascii="Calibri" w:hAnsi="Calibri" w:cs="Calibri"/>
        </w:rPr>
        <w:t>А.Я.Колесников</w:t>
      </w:r>
      <w:proofErr w:type="spellEnd"/>
      <w:r>
        <w:rPr>
          <w:rFonts w:ascii="Calibri" w:hAnsi="Calibri" w:cs="Calibri"/>
        </w:rPr>
        <w:t>), по развитию социальной сферы города (</w:t>
      </w:r>
      <w:proofErr w:type="spellStart"/>
      <w:r>
        <w:rPr>
          <w:rFonts w:ascii="Calibri" w:hAnsi="Calibri" w:cs="Calibri"/>
        </w:rPr>
        <w:t>Н.Н.Гаврилова</w:t>
      </w:r>
      <w:proofErr w:type="spellEnd"/>
      <w:r>
        <w:rPr>
          <w:rFonts w:ascii="Calibri" w:hAnsi="Calibri" w:cs="Calibri"/>
        </w:rPr>
        <w:t>), по бюджету и развитию экономики (</w:t>
      </w:r>
      <w:proofErr w:type="spellStart"/>
      <w:r>
        <w:rPr>
          <w:rFonts w:ascii="Calibri" w:hAnsi="Calibri" w:cs="Calibri"/>
        </w:rPr>
        <w:t>К.В.Сибиль</w:t>
      </w:r>
      <w:proofErr w:type="spellEnd"/>
      <w:r>
        <w:rPr>
          <w:rFonts w:ascii="Calibri" w:hAnsi="Calibri" w:cs="Calibri"/>
        </w:rPr>
        <w:t>).</w:t>
      </w:r>
    </w:p>
    <w:p w:rsidR="002D276B" w:rsidRDefault="002D276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5 в ред. </w:t>
      </w:r>
      <w:hyperlink r:id="rId3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31.03.2023 N 172)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Глава города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В.В.МИХАЙЛОВ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bookmarkStart w:id="0" w:name="P54"/>
      <w:bookmarkEnd w:id="0"/>
      <w:r>
        <w:rPr>
          <w:rFonts w:ascii="Calibri" w:hAnsi="Calibri" w:cs="Calibri"/>
          <w:b/>
        </w:rPr>
        <w:t>ПОЛОЖЕНИЕ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ТЕРРИТОРИАЛЬНОМ ПЛАНИРОВАНИИ</w:t>
      </w:r>
    </w:p>
    <w:p w:rsidR="002D276B" w:rsidRDefault="002D2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Кемеровского городского Совета народных депутатов</w:t>
            </w:r>
          </w:p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25.03.2022 N 73)</w:t>
            </w:r>
          </w:p>
        </w:tc>
      </w:tr>
    </w:tbl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Общие положения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Генеральный план города Кемерово (далее - генеральный план) разработан Федеральным государственным унитарным предприятием "Российский научно-исследовательский и проектный институт </w:t>
      </w:r>
      <w:proofErr w:type="spellStart"/>
      <w:r>
        <w:rPr>
          <w:rFonts w:ascii="Calibri" w:hAnsi="Calibri" w:cs="Calibri"/>
        </w:rPr>
        <w:t>урбанистики</w:t>
      </w:r>
      <w:proofErr w:type="spellEnd"/>
      <w:r>
        <w:rPr>
          <w:rFonts w:ascii="Calibri" w:hAnsi="Calibri" w:cs="Calibri"/>
        </w:rPr>
        <w:t>" по заданию администрации города Кемерово. Генеральный план разработан на два проектных периода: первая очередь строительства - 2022 г. и расчетный срок - 2032 г.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соответствии с Градостроительным кодексом Российской Федерации генеральный план является основным документом территориального планирования города, обеспечивающим устойчивое развитие территории. Генеральный план определяет направления и границы развития территории города, зонирование территории, приоритеты развития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Город Кемерово имеет статус городского округа и является административным центром Кемеровской области, входящей в Сибирский федеральный округ.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Цели и задачи генерального плана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Основной целью разработки генерального плана является формирование долгосрочной стратегии градостроительного развития, обеспечивающей устойчивое социально-экономическое, пространственное и инфраструктурное развитие городской среды.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связи с этим в составе генерального плана решаются следующие задачи: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Формирование комплекта графических и текстовых материалов, характеризующих современное использование территории, ресурсы и ограничения функционального развития.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Определение базовых технико-экономических показателей развития города, определяющих масштаб и параметры его территориального развития.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Формирование рациональной транспортно-планировочной структуры, обеспечивающей разгрузку сложившейся транспортной сети за счет формирования обходных трасс, "дублеров" перегруженных участков и развития улично-дорожной сети в районах новой застройки.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Разработка проектного функционального зонирования с учетом необходимости масштабного резервирования территорий под инвестиции в производственную и непроизводственную деятельность, развития озелененных и рекреационных территорий.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Развитие селитебных зон с учетом прогнозируемого роста темпов строительства и дифференцированного спроса на жилье различных типов, а также активной </w:t>
      </w:r>
      <w:proofErr w:type="spellStart"/>
      <w:r>
        <w:rPr>
          <w:rFonts w:ascii="Calibri" w:hAnsi="Calibri" w:cs="Calibri"/>
        </w:rPr>
        <w:t>субурбанизации</w:t>
      </w:r>
      <w:proofErr w:type="spellEnd"/>
      <w:r>
        <w:rPr>
          <w:rFonts w:ascii="Calibri" w:hAnsi="Calibri" w:cs="Calibri"/>
        </w:rPr>
        <w:t xml:space="preserve"> в ближнем окружении города.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Развитие инженерной инфраструктуры на основе перехода на эффективные и ресурсосберегающие системы водоснабжения, </w:t>
      </w:r>
      <w:proofErr w:type="spellStart"/>
      <w:r>
        <w:rPr>
          <w:rFonts w:ascii="Calibri" w:hAnsi="Calibri" w:cs="Calibri"/>
        </w:rPr>
        <w:t>канализования</w:t>
      </w:r>
      <w:proofErr w:type="spellEnd"/>
      <w:r>
        <w:rPr>
          <w:rFonts w:ascii="Calibri" w:hAnsi="Calibri" w:cs="Calibri"/>
        </w:rPr>
        <w:t>, энергоснабжения и инженерной защиты территории.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Определение комплекса планировочных и </w:t>
      </w:r>
      <w:proofErr w:type="gramStart"/>
      <w:r>
        <w:rPr>
          <w:rFonts w:ascii="Calibri" w:hAnsi="Calibri" w:cs="Calibri"/>
        </w:rPr>
        <w:t>инфраструктурных природоохранных мероприятий</w:t>
      </w:r>
      <w:proofErr w:type="gramEnd"/>
      <w:r>
        <w:rPr>
          <w:rFonts w:ascii="Calibri" w:hAnsi="Calibri" w:cs="Calibri"/>
        </w:rPr>
        <w:t xml:space="preserve"> и мероприятий по охране объектов культурного наследия.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Перечень мероприятий по территориальному планированию,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последовательность их выполнения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Хозяйственная деятельность. В основу проектных решений генерального плана положен многофункциональный экономический профиль города. Кемерово является развитым центром добывающей и перерабатывающей промышленности с высокой долей химической промышленности и энергетики, а также центром научно-исследовательской и финансово-организационной деятельности.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Инвестиционная ориентация в развитии промышленного сектора города Кемерово должна основываться на сочетании трех основных направлений: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Сочетание добывающей промышленности и обрабатывающих производств.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Внедрение инновационных технологий и производств.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Диверсификация промышленного производства в существующих отраслях.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Одним из главных конкурентных преимуществ города Кемерово может стать реализация программы развития Кузбасского технопарка.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Численность населения городского округа по данным на 01.01.2010 составляла 520,9 тыс. человек. В технико-экономических показателях генерального плана принимается прогнозная численность населения города Кемерово на первую очередь 540 тыс. человек, на расчетный срок - 560 тыс. человек.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Суммарная численность населения города Кемерово и ближнего пригорода (населенные пункты Пригородный, Журавлево, </w:t>
      </w:r>
      <w:proofErr w:type="spellStart"/>
      <w:r>
        <w:rPr>
          <w:rFonts w:ascii="Calibri" w:hAnsi="Calibri" w:cs="Calibri"/>
        </w:rPr>
        <w:t>Жургавань</w:t>
      </w:r>
      <w:proofErr w:type="spellEnd"/>
      <w:r>
        <w:rPr>
          <w:rFonts w:ascii="Calibri" w:hAnsi="Calibri" w:cs="Calibri"/>
        </w:rPr>
        <w:t xml:space="preserve">, Сухово, </w:t>
      </w:r>
      <w:proofErr w:type="spellStart"/>
      <w:r>
        <w:rPr>
          <w:rFonts w:ascii="Calibri" w:hAnsi="Calibri" w:cs="Calibri"/>
        </w:rPr>
        <w:t>Металлплощадка</w:t>
      </w:r>
      <w:proofErr w:type="spellEnd"/>
      <w:r>
        <w:rPr>
          <w:rFonts w:ascii="Calibri" w:hAnsi="Calibri" w:cs="Calibri"/>
        </w:rPr>
        <w:t xml:space="preserve"> и Губернская усадьба) принята на уровне 570 тыс. человек на первую очередь и 610 тыс. человек на расчетный срок.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Жилой фонд городского округа по состоянию на 01.01.2008 составил 10338,4 тыс. кв. м. Средняя жилищная обеспеченность населения - 19,9 кв. м общей площади на одного жителя.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 время обозримой перспективы неизбежно произойдет убыль индивидуального жилого фонда. Основными причинами убыли будут являться вынос индивидуального жилья с </w:t>
      </w:r>
      <w:proofErr w:type="spellStart"/>
      <w:r>
        <w:rPr>
          <w:rFonts w:ascii="Calibri" w:hAnsi="Calibri" w:cs="Calibri"/>
        </w:rPr>
        <w:t>провалоопасных</w:t>
      </w:r>
      <w:proofErr w:type="spellEnd"/>
      <w:r>
        <w:rPr>
          <w:rFonts w:ascii="Calibri" w:hAnsi="Calibri" w:cs="Calibri"/>
        </w:rPr>
        <w:t xml:space="preserve"> и газоопасных подработанных территорий и санитарно-защитных зон промышленных предприятий, перевод из жилого фонда в нежилой (преимущественно Рудничный, Ленинский и Центральный планировочные районы), снос ветхого и аварийного жилья, сплошная реконструкция усадебной застройки (часть Центрального планировочного района на первую очередь и район д. Красной на расчетный срок). Общая площадь убыли индивидуального жилищного фонда составит около 865 тыс. кв. м.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основу расчета территорий, необходимых для жилой застройки, положена жилищная обеспеченность на уровне 26 кв. м/чел. на 1 очередь и 32 кв. м/чел. на расчетный срок; плотность жилого фонда для многоквартирной застройки - 6000 кв. м/га; для коттеджной застройки - 1500 кв. м/га. В соответствии с анализом фактического спроса на территории для застройки соотношение проектной многоквартирной и индивидуальной застройки принято 70/30, с учетом ближнего пригорода соотношение принято 60/40.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Территории, необходимые для нового жилищного строительства с учетом территорий общего пользования, составят на первую очередь около 1600 га, на расчетный срок - около 3250 га. Жилищная обеспеченность города Кемерово вместе с ближним пригородом прогнозируется на уровне 29 кв. м/чел. на первую очередь и 36 кв. м/чел. на расчетный срок.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Проектный уровень культурно-бытового обслуживания должен достичь нормативных показателей, в особенности по учреждениям образования и здравоохранения.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соответствии с нормативными рекомендациями и демографическими расчетами генерального плана емкость детских дошкольных учреждений увеличится с современных 15,8 тыс. мест до 20,0 тыс. мест на первую очередь и до 20,7 тыс. мест на расчетный срок; общеобразовательных школ - с современных 45,4 тыс. мест до 56,2 тыс. мест на расчетный срок.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Планируется увеличение емкости больничных учреждений с 7,8 тыс. коек до 8,1 тыс. коек на расчетный срок; емкость поликлинических учреждений останется без изменений.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Генеральным планом предусмотрено резервирование территорий под учебные корпуса вузов и средних специальных учебных заведений в Рудничном планировочном районе, больничных учреждений в Рудничном и </w:t>
      </w:r>
      <w:proofErr w:type="spellStart"/>
      <w:r>
        <w:rPr>
          <w:rFonts w:ascii="Calibri" w:hAnsi="Calibri" w:cs="Calibri"/>
        </w:rPr>
        <w:t>Ягуновском</w:t>
      </w:r>
      <w:proofErr w:type="spellEnd"/>
      <w:r>
        <w:rPr>
          <w:rFonts w:ascii="Calibri" w:hAnsi="Calibri" w:cs="Calibri"/>
        </w:rPr>
        <w:t xml:space="preserve"> планировочных районах.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Территориальное развитие города. Генеральным планом предусматривается: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завершение формирования преимущественно сложившихся планировочных районов;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развитие каждого из планировочных направлений, пропорционально распределенное по очередям реализации генерального плана.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Планировочные районы Кировский, Рудничный, Заводский, Центральный, Промышленновский и Кедровка практически сформировались, имеют ограниченные возможности размещения жилищного строительства на новых территориях (отнесенные преимущественно к первой очереди) и существенные возможности реконструкции индивидуальной застройки. Однако генеральным планом предусматривается максимально возможное сохранение существующей индивидуальной застройки; сплошная реконструкция намечена только в наиболее ценных градостроительных зонах - районе ул. Сибиряков-Гвардейцев (первая очередь) и районе д. Красной (расчетный срок).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Ленинский планировочный район имеет существенные ресурсы территориального развития и рассматривается как основной район размещения многоквартирной застройки на первую очередь.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планировочных районах </w:t>
      </w:r>
      <w:proofErr w:type="gramStart"/>
      <w:r>
        <w:rPr>
          <w:rFonts w:ascii="Calibri" w:hAnsi="Calibri" w:cs="Calibri"/>
        </w:rPr>
        <w:t>Боровой</w:t>
      </w:r>
      <w:proofErr w:type="gramEnd"/>
      <w:r>
        <w:rPr>
          <w:rFonts w:ascii="Calibri" w:hAnsi="Calibri" w:cs="Calibri"/>
        </w:rPr>
        <w:t xml:space="preserve"> и Пионер основной задачей развития является запрет на новое жилищное строительство на подработанных территориях и первоочередной вынос жилья из </w:t>
      </w:r>
      <w:proofErr w:type="spellStart"/>
      <w:r>
        <w:rPr>
          <w:rFonts w:ascii="Calibri" w:hAnsi="Calibri" w:cs="Calibri"/>
        </w:rPr>
        <w:t>провалоопасных</w:t>
      </w:r>
      <w:proofErr w:type="spellEnd"/>
      <w:r>
        <w:rPr>
          <w:rFonts w:ascii="Calibri" w:hAnsi="Calibri" w:cs="Calibri"/>
        </w:rPr>
        <w:t xml:space="preserve"> зон и зон выделения токсичных газов.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Планировочный район Лесная Поляна складывается как район преимущественно малоэтажной плотной застройки повышенной комфортности, и продолжение его освоения предполагается поэтапно.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Развитие планировочного района </w:t>
      </w:r>
      <w:proofErr w:type="spellStart"/>
      <w:r>
        <w:rPr>
          <w:rFonts w:ascii="Calibri" w:hAnsi="Calibri" w:cs="Calibri"/>
        </w:rPr>
        <w:t>Ягуновский</w:t>
      </w:r>
      <w:proofErr w:type="spellEnd"/>
      <w:r>
        <w:rPr>
          <w:rFonts w:ascii="Calibri" w:hAnsi="Calibri" w:cs="Calibri"/>
        </w:rPr>
        <w:t xml:space="preserve"> предлагается генеральным планом, учитывая близкое расположение к центру города и инженерным коммуникациям, наличие магистральной транспортной оси. Предполагается поэтапное освоение малоэтажной низкоплотной застройкой (с размерами участков от 10 соток).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Территория от ул. Терешковой до р. </w:t>
      </w:r>
      <w:proofErr w:type="spellStart"/>
      <w:r>
        <w:rPr>
          <w:rFonts w:ascii="Calibri" w:hAnsi="Calibri" w:cs="Calibri"/>
        </w:rPr>
        <w:t>Люскус</w:t>
      </w:r>
      <w:proofErr w:type="spellEnd"/>
      <w:r>
        <w:rPr>
          <w:rFonts w:ascii="Calibri" w:hAnsi="Calibri" w:cs="Calibri"/>
        </w:rPr>
        <w:t xml:space="preserve"> вдоль правого берега р. Томь Рудничного района города Кемерово, размещаемая между сложившимися планировочными зонами, представляет собой ценный резерв для размещения многоквартирной застройки. Однако его освоение отнесено на расчетный срок в связи с наличием обширных территориальных ресурсов в уже сложившихся планировочных районах.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Территориальное развитие производственных зон предлагается сконцентрировать в формирующемся Северном </w:t>
      </w:r>
      <w:proofErr w:type="spellStart"/>
      <w:r>
        <w:rPr>
          <w:rFonts w:ascii="Calibri" w:hAnsi="Calibri" w:cs="Calibri"/>
        </w:rPr>
        <w:t>промузле</w:t>
      </w:r>
      <w:proofErr w:type="spellEnd"/>
      <w:r>
        <w:rPr>
          <w:rFonts w:ascii="Calibri" w:hAnsi="Calibri" w:cs="Calibri"/>
        </w:rPr>
        <w:t xml:space="preserve">, остальные </w:t>
      </w:r>
      <w:proofErr w:type="spellStart"/>
      <w:r>
        <w:rPr>
          <w:rFonts w:ascii="Calibri" w:hAnsi="Calibri" w:cs="Calibri"/>
        </w:rPr>
        <w:t>промзоны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промузлы</w:t>
      </w:r>
      <w:proofErr w:type="spellEnd"/>
      <w:r>
        <w:rPr>
          <w:rFonts w:ascii="Calibri" w:hAnsi="Calibri" w:cs="Calibri"/>
        </w:rPr>
        <w:t xml:space="preserve"> получают преимущественно функциональное развитие.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Генеральным планом предлагается установление границы населенного пункта Кемерово, совпадающей с границей городского округа на всем протяжении, с исключением участков согласно картографическому описанию границы населенного пункта города Кемерово.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Генеральным планом предлагается выделение следующих функциональных зон: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Жилая зона включает участки существующей сохраняемой и проектируемой жилой застройки, в составе которой размещаются все необходимые учреждения для социального и культурно-бытового обслуживания населения. Зона застройки многоквартирными жилыми домами размещается на большей части Центрального, Ленинского районов, а также занимает часть Кировского, Рудничного, Заводского районов. Зона индивидуальной (усадебной и коттеджной застройки) включает в себя существующую сохраняемую и новую усадебную застройку, размещается практически во всех районах. Районы нового масштабного строительства индивидуальной застройки - Лесная Поляна, </w:t>
      </w:r>
      <w:proofErr w:type="spellStart"/>
      <w:r>
        <w:rPr>
          <w:rFonts w:ascii="Calibri" w:hAnsi="Calibri" w:cs="Calibri"/>
        </w:rPr>
        <w:t>Ягуновский</w:t>
      </w:r>
      <w:proofErr w:type="spellEnd"/>
      <w:r>
        <w:rPr>
          <w:rFonts w:ascii="Calibri" w:hAnsi="Calibri" w:cs="Calibri"/>
        </w:rPr>
        <w:t>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Общественно-деловая зона сконцентрирована преимущественно в Центральном районе, где сосредоточена основная часть административных, офисных, торговых, культурно-просветительских, образовательных и других объектов. Кроме того, отдельные зоны с элементами общегородского центра имеются в Ленинском, Рудничном и Кировском планировочных районах. В ряде удаленных районов (Лесная Поляна, Кедровка, Кировский, южная часть Заводского района, </w:t>
      </w:r>
      <w:proofErr w:type="spellStart"/>
      <w:r>
        <w:rPr>
          <w:rFonts w:ascii="Calibri" w:hAnsi="Calibri" w:cs="Calibri"/>
        </w:rPr>
        <w:lastRenderedPageBreak/>
        <w:t>Ягуновский</w:t>
      </w:r>
      <w:proofErr w:type="spellEnd"/>
      <w:r>
        <w:rPr>
          <w:rFonts w:ascii="Calibri" w:hAnsi="Calibri" w:cs="Calibri"/>
        </w:rPr>
        <w:t xml:space="preserve">, планировочный район </w:t>
      </w:r>
      <w:proofErr w:type="spellStart"/>
      <w:r>
        <w:rPr>
          <w:rFonts w:ascii="Calibri" w:hAnsi="Calibri" w:cs="Calibri"/>
        </w:rPr>
        <w:t>Люскус</w:t>
      </w:r>
      <w:proofErr w:type="spellEnd"/>
      <w:r>
        <w:rPr>
          <w:rFonts w:ascii="Calibri" w:hAnsi="Calibri" w:cs="Calibri"/>
        </w:rPr>
        <w:t>) требуется развитие районных зон делового, общественного и коммерческого назначения.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Производственная зона, в том числе зона промышленных и коммунально-складских предприятий, зона добывающей промышленности. В настоящее время в городе сложилось две крупных </w:t>
      </w:r>
      <w:proofErr w:type="spellStart"/>
      <w:r>
        <w:rPr>
          <w:rFonts w:ascii="Calibri" w:hAnsi="Calibri" w:cs="Calibri"/>
        </w:rPr>
        <w:t>промзоны</w:t>
      </w:r>
      <w:proofErr w:type="spellEnd"/>
      <w:r>
        <w:rPr>
          <w:rFonts w:ascii="Calibri" w:hAnsi="Calibri" w:cs="Calibri"/>
        </w:rPr>
        <w:t xml:space="preserve"> (Кировская и Заводская) и семь </w:t>
      </w:r>
      <w:proofErr w:type="spellStart"/>
      <w:r>
        <w:rPr>
          <w:rFonts w:ascii="Calibri" w:hAnsi="Calibri" w:cs="Calibri"/>
        </w:rPr>
        <w:t>промузлов</w:t>
      </w:r>
      <w:proofErr w:type="spellEnd"/>
      <w:r>
        <w:rPr>
          <w:rFonts w:ascii="Calibri" w:hAnsi="Calibri" w:cs="Calibri"/>
        </w:rPr>
        <w:t xml:space="preserve">. Масштабное территориальное развитие получает Северный </w:t>
      </w:r>
      <w:proofErr w:type="spellStart"/>
      <w:r>
        <w:rPr>
          <w:rFonts w:ascii="Calibri" w:hAnsi="Calibri" w:cs="Calibri"/>
        </w:rPr>
        <w:t>промузел</w:t>
      </w:r>
      <w:proofErr w:type="spellEnd"/>
      <w:r>
        <w:rPr>
          <w:rFonts w:ascii="Calibri" w:hAnsi="Calibri" w:cs="Calibri"/>
        </w:rPr>
        <w:t>. Часть промышленных и коммунально-складских учреждений располагается на территории города в жилой и общественно-деловой зоне. Зона добывающей промышленности занимает обширные территории в границах горных отводов предприятий угледобычи. На территории городского округа также находится карьер строительных материалов.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Зона транспортной и инженерной инфраструктуры включает в себя площадки аэродромов "Кемерово" и "Северный", полосу отвода железных дорог общего пользования и линий необщего пользования, территорию речного порта и склада водно-моторной техники, магистральную улично-дорожную сеть, территории существующих и проектируемых инженерных коммуникаций.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Зона сельскохозяйственного использования, в том числе зона коллективных садоводств (часть из которых подлежит выносу из зон санитарной вредности предприятий, подработанных территорий, горных отводов) и зона плодопитомника.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Рекреационные зоны, в том числе зона зеленых насаждений общего пользования, система зеленых насаждений общего пользования (формируется за счет городского лесопарка, отдельных парков, скверов и бульваров и сохраняемого природного ландшафта), зона городских лесов, зона особо охраняемых природных территорий (намечена организация двух заказников регионального значения), зона ботанического сада, зона озеленения специального назначения (включает в себя зеленые насаждения санитарно-защитных зон производственных предприятий, кладбищ, скотомогильников и т.д.).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Зоны специального назначения, в том числе зона режимных предприятий, зона объектов обеспечения обороны, зона кладбищ, зона объектов утилизации отходов (полигоны и свалки промышленных и бытовых отходов, </w:t>
      </w:r>
      <w:proofErr w:type="spellStart"/>
      <w:r>
        <w:rPr>
          <w:rFonts w:ascii="Calibri" w:hAnsi="Calibri" w:cs="Calibri"/>
        </w:rPr>
        <w:t>золоотвалы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шламоотвалы</w:t>
      </w:r>
      <w:proofErr w:type="spellEnd"/>
      <w:r>
        <w:rPr>
          <w:rFonts w:ascii="Calibri" w:hAnsi="Calibri" w:cs="Calibri"/>
        </w:rPr>
        <w:t xml:space="preserve"> и т.д.).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Зоны с особыми условиями использования территории. Генеральным планом устанавливаются следующие зоны с особыми условиями использования территории: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зона запрещения промышленно-гражданского строительства на подработанных территориях, в охранных зонах и коридорах инженерных коммуникаций, в первом поясе зоны санитарной охраны источников водоснабжения;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зона ограниченно пригодных территорий нового жилищного строительства, устанавливаемая на основе санитарно-защитных зон от промышленных и коммунально-складских предприятий, кладбищ, скотомогильников, шумовых зон аэродромов, в границах горных отводов добывающих предприятий;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зона первоочередного выноса жилого фонда, устанавливаемая на подработанных территориях в </w:t>
      </w:r>
      <w:proofErr w:type="spellStart"/>
      <w:r>
        <w:rPr>
          <w:rFonts w:ascii="Calibri" w:hAnsi="Calibri" w:cs="Calibri"/>
        </w:rPr>
        <w:t>провалоопасных</w:t>
      </w:r>
      <w:proofErr w:type="spellEnd"/>
      <w:r>
        <w:rPr>
          <w:rFonts w:ascii="Calibri" w:hAnsi="Calibri" w:cs="Calibri"/>
        </w:rPr>
        <w:t xml:space="preserve"> зонах и зонах выхода токсичных газов.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Историко-культурный потенциал территории. Согласно "Перечню исторических городов России" (приложение N 1 к Федеральной программе "Сохранение и развитие архитектуры исторических городов (2002 - 2010 годы)", утвержденной постановлением Правительства Российской Федерации от 26.11.2001 N 815), город Кемерово является историческим поселением. На территории города имеются объекты историко-культурного наследия, представляющие историческую, архитектурную и градостроительную ценность.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На территории города располагаются четыре объекта федерального значения, сорок семь объектов регионального значения и девятнадцать объектов местного значения, также имеются три памятника археологии. С 2010 территория Красной Горки включена в реестр объектов культурного наследия регионального значения в качестве достопримечательного места, с последующим созданием историко-культурного музея-заповедника (</w:t>
      </w: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26.11.2010 N 521).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Кроме того, в левобережной части города расположен ряд объектов культурного наследия, территория которых также является зоной историко-культурного назначения. Высокая концентрация этих объектов в основном на территории Центрального района, наличие большого числа зданий, формально не имеющих статуса "объект культурного наследия", требуют разработки проекта по определению зон охраны памятников и расширения перечня объектов культурного наследия.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Генеральным планом предусматривается развитие транспортной инфраструктуры: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железнодорожный транспорт;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автомобильный транспорт;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водный транспорт;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воздушный транспорт;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трубопроводный транспорт (строительство нефтепродуктопровода).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Взаимодействие видов транспорта. Генеральным планом предусматривается размещение на территории города трех основных транспортно-логистических терминалов.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Генеральным планом предусматривается развитие: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автомобильных дорог местного значения;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городского пассажирского транспорта;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водоснабжения;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водоотведения;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деятельности по обращению с отходами производства и потребления;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электроснабжения;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теплоснабжения;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газоснабжения;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связи.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Инженерная подготовка территории. Планируются следующие мероприятия: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Строительство сетей ливневой канализации.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Понижение уровня грунтовых вод предусматривается посредством организации дренажных систем в жилой застройке.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Берегоукрепление</w:t>
      </w:r>
      <w:proofErr w:type="spellEnd"/>
      <w:r>
        <w:rPr>
          <w:rFonts w:ascii="Calibri" w:hAnsi="Calibri" w:cs="Calibri"/>
        </w:rPr>
        <w:t>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 Благоустройство городских водотоков.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Защита от затопления (предусматривается посредством строительства дороги-дамбы вдоль берега реки Томи).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Рекультивация карьеров нерудных полезных ископаемых на прилегающих к городу территориях. Рекультивация санкционированной свалки ТБО.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Строительство заградительной дамбы северо-западнее пересечения проспекта </w:t>
      </w:r>
      <w:proofErr w:type="spellStart"/>
      <w:r>
        <w:rPr>
          <w:rFonts w:ascii="Calibri" w:hAnsi="Calibri" w:cs="Calibri"/>
        </w:rPr>
        <w:t>Притомского</w:t>
      </w:r>
      <w:proofErr w:type="spellEnd"/>
      <w:r>
        <w:rPr>
          <w:rFonts w:ascii="Calibri" w:hAnsi="Calibri" w:cs="Calibri"/>
        </w:rPr>
        <w:t xml:space="preserve"> и улицы Терешковой.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Система зеленых насаждений. Площадь зеленых насаждений общего пользования составляет в городе 618,1 га, обеспеченность насаждениями общего пользования - 11,6 кв. м на одного жителя.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Генеральным планом предусмотрено: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зеленой парковой зоны общегородского значения "</w:t>
      </w:r>
      <w:proofErr w:type="spellStart"/>
      <w:r>
        <w:rPr>
          <w:rFonts w:ascii="Calibri" w:hAnsi="Calibri" w:cs="Calibri"/>
        </w:rPr>
        <w:t>Притомская</w:t>
      </w:r>
      <w:proofErr w:type="spellEnd"/>
      <w:r>
        <w:rPr>
          <w:rFonts w:ascii="Calibri" w:hAnsi="Calibri" w:cs="Calibri"/>
        </w:rPr>
        <w:t>" на левобережных пойменных территориях реки Томи;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парка общегородского значения "Комсомольский";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завершение организации единой парковой зоны общегородского значения в долине реки </w:t>
      </w:r>
      <w:proofErr w:type="spellStart"/>
      <w:r>
        <w:rPr>
          <w:rFonts w:ascii="Calibri" w:hAnsi="Calibri" w:cs="Calibri"/>
        </w:rPr>
        <w:t>Искитимка</w:t>
      </w:r>
      <w:proofErr w:type="spellEnd"/>
      <w:r>
        <w:rPr>
          <w:rFonts w:ascii="Calibri" w:hAnsi="Calibri" w:cs="Calibri"/>
        </w:rPr>
        <w:t xml:space="preserve"> в Центральном планировочном районе;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парка общегородского значения "Долина Каменушка" на базе лесного фонда в Рудничном планировочном районе;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парковой зоны общегородского значения западнее улицы Тухачевского (район плодопитомника);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парков районного значения во всех планировочных районах;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городского лесопарка в восточной части поселка Пионер;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присвоение статуса ООПТ территории в долине реки Каменушка, включая лесной массив "Красный Борок";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выделение зон сохраняемого ландшафта с возможностью использования в рекреационных целях.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результате предлагаемых мероприятий планируется увеличить площадь зеленых насаждений общего пользования на первом этапе до 1170 га, что позволит довести обеспеченность до 31,1 кв. м на одного жителя на первую очередь. На расчетный срок площадь зеленых насаждений общего пользования должна составить 1835 га, а обеспеченность - 40,3 кв. м на одного жителя соответственно.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Генеральным планом предусмотрено строительство объектов образования: в Центральном районе - 18, в Заводском районе - 16, в Рудничном районе - 20, в Ленинском районе - 19, в Кировском районе - 1.</w:t>
      </w:r>
    </w:p>
    <w:p w:rsidR="002D276B" w:rsidRDefault="002D27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Вместимость дошкольных образовательных организаций, общеобразовательных организаций, организаций дополнительного образования допускается уточнять при разработке документации по планировке территории и проектной документации на строительство объектов капитального строительства.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Генеральным планом предусмотрено строительство 9 объектов физической культуры и массового спорта; 3 объектов культуры; 3 объектов массового отдыха населения, размещение одного объекта, используемого для обработки, утилизации, обезвреживания, размещения твердых коммунальных отходов.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Г.А.ВЕРЖИЦКИЙ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НЕСЕКРЕТНО N 6315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ГЕНЕРАЛЬНЫЙ ПЛАН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ОКРУГА</w:t>
      </w:r>
    </w:p>
    <w:p w:rsidR="002D276B" w:rsidRDefault="002D276B">
      <w:pPr>
        <w:spacing w:after="1" w:line="220" w:lineRule="atLeast"/>
        <w:jc w:val="center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КАРТА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ИСПОЛЬЗОВАНИЯ ТЕРРИТОРИИ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Исключена. - </w:t>
      </w:r>
      <w:hyperlink r:id="rId3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29.06.2017 N 77.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2.1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ГЕНЕРАЛЬНЫЙ ПЛАН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ОКРУГА</w:t>
      </w:r>
    </w:p>
    <w:p w:rsidR="002D276B" w:rsidRDefault="002D276B">
      <w:pPr>
        <w:spacing w:after="1" w:line="220" w:lineRule="atLeast"/>
        <w:jc w:val="center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КАРТА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ПЛАНИРУЕМОГО РАЗМЕЩЕНИЯ ОБЪЕКТОВ МЕСТНОГО ЗНАЧЕНИЯ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КЕМЕРОВО: АВТОМОБИЛЬНЫЕ ДОРОГИ, ОБЪЕКТЫ ЭЛЕКТРО-,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ТЕПЛО-, ГАЗОСНАБЖЕНИЯ НАСЕЛЕНИЯ, ВОДООТВЕДЕНИЯ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Исключена. - </w:t>
      </w:r>
      <w:hyperlink r:id="rId4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25.03.2022 N 73.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2.2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ГЕНЕРАЛЬНЫЙ ПЛАН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ОКРУГА</w:t>
      </w:r>
    </w:p>
    <w:p w:rsidR="002D276B" w:rsidRDefault="002D276B">
      <w:pPr>
        <w:spacing w:after="1" w:line="220" w:lineRule="atLeast"/>
        <w:jc w:val="center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КАРТА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ПЛАНИРУЕМОГО РАЗМЕЩЕНИЯ ОБЪЕКТОВ МЕСТНОГО ЗНАЧЕНИЯ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КЕМЕРОВО: ОБЪЕКТЫ ФИЗИЧЕСКОЙ КУЛЬТУРЫ И МАССОВОГО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СПОРТА, ОБРАЗОВАНИЯ, ЗДРАВООХРАНЕНИЯ, ОБРАБОТКИ, УТИЛИЗАЦИИ,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ОБЕЗВРЕЖИВАНИЯ, РАЗМЕЩЕНИЯ ТВЕРДЫХ КОММУНАЛЬНЫХ ОТХОДОВ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Исключена. - </w:t>
      </w:r>
      <w:hyperlink r:id="rId4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25.03.2022 N 73.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76B" w:rsidRDefault="002D276B">
            <w:pPr>
              <w:spacing w:after="1" w:line="220" w:lineRule="atLeast"/>
              <w:jc w:val="both"/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Кемеровского городского Совета народных депутатов от 27.10.2023 N 217 приложение N 2 изложено в новой редакции.</w:t>
            </w:r>
          </w:p>
        </w:tc>
      </w:tr>
    </w:tbl>
    <w:p w:rsidR="002D276B" w:rsidRDefault="002D2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76B" w:rsidRDefault="002D276B">
            <w:pPr>
              <w:spacing w:after="1" w:line="220" w:lineRule="atLeast"/>
              <w:jc w:val="both"/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Кемеровского городского Совета народных депутатов от 25.03.2022 N 73 приложение N 2 изложено в новой редакции.</w:t>
            </w:r>
          </w:p>
        </w:tc>
      </w:tr>
    </w:tbl>
    <w:p w:rsidR="002D276B" w:rsidRDefault="002D2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76B" w:rsidRDefault="002D276B">
            <w:pPr>
              <w:spacing w:after="1" w:line="220" w:lineRule="atLeast"/>
              <w:jc w:val="both"/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Кемеровского городского Совета народных депутатов от 29.09.2021 N 11 приложение N 3 изложено в новой редакции.</w:t>
            </w:r>
          </w:p>
        </w:tc>
      </w:tr>
    </w:tbl>
    <w:p w:rsidR="002D276B" w:rsidRDefault="002D276B">
      <w:pPr>
        <w:spacing w:before="280" w:after="1" w:line="220" w:lineRule="atLeast"/>
        <w:jc w:val="right"/>
        <w:outlineLvl w:val="0"/>
      </w:pPr>
      <w:r>
        <w:rPr>
          <w:rFonts w:ascii="Calibri" w:hAnsi="Calibri" w:cs="Calibri"/>
        </w:rPr>
        <w:t xml:space="preserve">Приложение </w:t>
      </w:r>
      <w:hyperlink r:id="rId45" w:history="1">
        <w:r>
          <w:rPr>
            <w:rFonts w:ascii="Calibri" w:hAnsi="Calibri" w:cs="Calibri"/>
            <w:color w:val="0000FF"/>
          </w:rPr>
          <w:t>N 2</w:t>
        </w:r>
      </w:hyperlink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НЕСЕКРЕТНО N 6398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ГЕНЕРАЛЬНЫЙ ПЛАН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ГОРОДСКОГО ОКРУГА</w:t>
      </w:r>
    </w:p>
    <w:p w:rsidR="002D276B" w:rsidRDefault="002D276B">
      <w:pPr>
        <w:spacing w:after="1" w:line="220" w:lineRule="atLeast"/>
        <w:jc w:val="center"/>
      </w:pPr>
    </w:p>
    <w:p w:rsidR="002D276B" w:rsidRDefault="002D276B">
      <w:pPr>
        <w:spacing w:after="1" w:line="220" w:lineRule="atLeast"/>
        <w:jc w:val="center"/>
      </w:pPr>
      <w:bookmarkStart w:id="1" w:name="P268"/>
      <w:bookmarkEnd w:id="1"/>
      <w:r>
        <w:rPr>
          <w:rFonts w:ascii="Calibri" w:hAnsi="Calibri" w:cs="Calibri"/>
          <w:b/>
        </w:rPr>
        <w:t>КАРТА ГРАНИЦ НАСЕЛЕННОГО ПУНКТА ГОРОДА КЕМЕРОВО</w:t>
      </w:r>
    </w:p>
    <w:p w:rsidR="002D276B" w:rsidRDefault="002D2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Кемеровского городского Совета народных депутатов</w:t>
            </w:r>
          </w:p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31.05.2019 N 233)</w:t>
            </w:r>
          </w:p>
        </w:tc>
      </w:tr>
    </w:tbl>
    <w:p w:rsidR="002D276B" w:rsidRDefault="002D276B">
      <w:pPr>
        <w:spacing w:after="1" w:line="220" w:lineRule="atLeast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76B" w:rsidRDefault="002D276B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2D276B" w:rsidRDefault="002D276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Рисунок не приводится.</w:t>
            </w:r>
          </w:p>
        </w:tc>
      </w:tr>
    </w:tbl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76B" w:rsidRDefault="002D276B">
            <w:pPr>
              <w:spacing w:after="1" w:line="220" w:lineRule="atLeast"/>
              <w:jc w:val="both"/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Кемеровского городского Совета народных депутатов от 27.10.2023 N 217 приложение N 3 изложено в новой редакции.</w:t>
            </w:r>
          </w:p>
        </w:tc>
      </w:tr>
    </w:tbl>
    <w:p w:rsidR="002D276B" w:rsidRDefault="002D2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76B" w:rsidRDefault="002D276B">
            <w:pPr>
              <w:spacing w:after="1" w:line="220" w:lineRule="atLeast"/>
              <w:jc w:val="both"/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Кемеровского городского Совета народных депутатов от 30.06.2023 N 197 приложение N 3 изложено в новой редакции.</w:t>
            </w:r>
          </w:p>
        </w:tc>
      </w:tr>
    </w:tbl>
    <w:p w:rsidR="002D276B" w:rsidRDefault="002D2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76B" w:rsidRDefault="002D276B">
            <w:pPr>
              <w:spacing w:after="1" w:line="220" w:lineRule="atLeast"/>
              <w:jc w:val="both"/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Кемеровского городского Совета народных депутатов от 31.03.2023 N 172 приложение N 3 изложено в новой редакции.</w:t>
            </w:r>
          </w:p>
        </w:tc>
      </w:tr>
    </w:tbl>
    <w:p w:rsidR="002D276B" w:rsidRDefault="002D2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76B" w:rsidRDefault="002D276B">
            <w:pPr>
              <w:spacing w:after="1" w:line="220" w:lineRule="atLeast"/>
              <w:jc w:val="both"/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Кемеровского городского Совета народных депутатов от 30.09.2022 N 122 приложение N 3 изложено в новой редакции.</w:t>
            </w:r>
          </w:p>
        </w:tc>
      </w:tr>
    </w:tbl>
    <w:p w:rsidR="002D276B" w:rsidRDefault="002D2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76B" w:rsidRDefault="002D276B">
            <w:pPr>
              <w:spacing w:after="1" w:line="220" w:lineRule="atLeast"/>
              <w:jc w:val="both"/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Кемеровского городского Совета народных депутатов от 25.03.2022 N 73 приложение N 3 изложено в новой редакции.</w:t>
            </w:r>
          </w:p>
        </w:tc>
      </w:tr>
    </w:tbl>
    <w:p w:rsidR="002D276B" w:rsidRDefault="002D2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76B" w:rsidRDefault="002D276B">
            <w:pPr>
              <w:spacing w:after="1" w:line="220" w:lineRule="atLeast"/>
              <w:jc w:val="both"/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Кемеровского городского Совета народных депутатов от 29.09.2021 N 11 приложение N 4 изложено в новой редакции.</w:t>
            </w:r>
          </w:p>
        </w:tc>
      </w:tr>
    </w:tbl>
    <w:p w:rsidR="002D276B" w:rsidRDefault="002D276B">
      <w:pPr>
        <w:spacing w:before="280" w:after="1" w:line="220" w:lineRule="atLeast"/>
        <w:jc w:val="right"/>
        <w:outlineLvl w:val="0"/>
      </w:pPr>
      <w:r>
        <w:rPr>
          <w:rFonts w:ascii="Calibri" w:hAnsi="Calibri" w:cs="Calibri"/>
        </w:rPr>
        <w:t xml:space="preserve">Приложение </w:t>
      </w:r>
      <w:hyperlink r:id="rId53" w:history="1">
        <w:r>
          <w:rPr>
            <w:rFonts w:ascii="Calibri" w:hAnsi="Calibri" w:cs="Calibri"/>
            <w:color w:val="0000FF"/>
          </w:rPr>
          <w:t>N 3</w:t>
        </w:r>
      </w:hyperlink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ГЕНЕРАЛЬНЫЙ ПЛАН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ОКРУГА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bookmarkStart w:id="2" w:name="P297"/>
      <w:bookmarkEnd w:id="2"/>
      <w:r>
        <w:rPr>
          <w:rFonts w:ascii="Calibri" w:hAnsi="Calibri" w:cs="Calibri"/>
          <w:b/>
        </w:rPr>
        <w:t>КАРТА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ФУНКЦИОНАЛЬНЫХ ЗОН ГОРОДА КЕМЕРОВО</w:t>
      </w:r>
    </w:p>
    <w:p w:rsidR="002D276B" w:rsidRDefault="002D2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Кемеровского городского Совета народных депутатов</w:t>
            </w:r>
          </w:p>
          <w:p w:rsidR="002D276B" w:rsidRDefault="002D27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26.03.2021 N 408)</w:t>
            </w:r>
          </w:p>
        </w:tc>
      </w:tr>
    </w:tbl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5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НЕСЕКРЕТНО N 6396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ИСТОРИКО-КУЛЬТУРНЫЕ ПЛАНИРОВОЧНЫЕ ОГРАНИЧЕНИЯ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РАЗМЕЩЕНИЯ ОБЪЕКТОВ КУЛЬТУРНОГО НАСЛЕДИЯ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Исключена. - </w:t>
      </w:r>
      <w:hyperlink r:id="rId5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29.06.2017 N 77.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НЕСЕКРЕТНО N 6417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ГЕНЕРАЛЬНЫЙ ПЛАН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ОКРУГА</w:t>
      </w:r>
    </w:p>
    <w:p w:rsidR="002D276B" w:rsidRDefault="002D276B">
      <w:pPr>
        <w:spacing w:after="1" w:line="220" w:lineRule="atLeast"/>
        <w:jc w:val="center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ОЦЕНКА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СОВРЕМЕННОГО СОСТОЯНИЯ ОКРУЖАЮЩЕЙ СРЕДЫ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Исключена. - </w:t>
      </w:r>
      <w:hyperlink r:id="rId5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29.06.2017 N 77.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 N 7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НЕСЕКРЕТНО N 6316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ГЕНЕРАЛЬНЫЙ ПЛАН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ОКРУГА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ПРОЕКТНЫЙ ПЛАН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Утратил силу. - </w:t>
      </w:r>
      <w:hyperlink r:id="rId5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26.06.2015 N 422.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8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НЕСЕКРЕТНО N 6317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ГЕНЕРАЛЬНЫЙ ПЛАН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ОКРУГА</w:t>
      </w:r>
    </w:p>
    <w:p w:rsidR="002D276B" w:rsidRDefault="002D276B">
      <w:pPr>
        <w:spacing w:after="1" w:line="220" w:lineRule="atLeast"/>
        <w:jc w:val="center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КАРТА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ТРАНСПОРТНОЙ ИНФРАСТРУКТУРЫ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Исключена. - </w:t>
      </w:r>
      <w:hyperlink r:id="rId5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29.06.2017 N 77.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9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НЕСЕКРЕТНО N 8197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ГЕНЕРАЛЬНЫЙ ПЛАН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ОКРУГА</w:t>
      </w:r>
    </w:p>
    <w:p w:rsidR="002D276B" w:rsidRDefault="002D276B">
      <w:pPr>
        <w:spacing w:after="1" w:line="220" w:lineRule="atLeast"/>
        <w:jc w:val="center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КАРТА ВОДООТВЕДЕНИЯ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Исключена. - </w:t>
      </w:r>
      <w:hyperlink r:id="rId5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29.06.2017 N 77.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10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НЕСЕКРЕТНО N 8198 НС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ГЕНЕРАЛЬНЫЙ ПЛАН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ОКРУГА</w:t>
      </w:r>
    </w:p>
    <w:p w:rsidR="002D276B" w:rsidRDefault="002D276B">
      <w:pPr>
        <w:spacing w:after="1" w:line="220" w:lineRule="atLeast"/>
        <w:jc w:val="center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КАРТА ЭНЕРГОСНАБЖЕНИЯ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Исключена. - </w:t>
      </w:r>
      <w:hyperlink r:id="rId6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29.06.2017 N 77.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11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НЕСЕКРЕТНО N 8199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ГЕНЕРАЛЬНЫЙ ПЛАН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ОКРУГА</w:t>
      </w:r>
    </w:p>
    <w:p w:rsidR="002D276B" w:rsidRDefault="002D276B">
      <w:pPr>
        <w:spacing w:after="1" w:line="220" w:lineRule="atLeast"/>
        <w:jc w:val="center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КАРТА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ИНЖЕНЕРНОЙ ПОДГОТОВКИ ТЕРРИТОРИИ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Исключена. - </w:t>
      </w:r>
      <w:hyperlink r:id="rId6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29.06.2017 N 77.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12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НЕСЕКРЕТНО N 8200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ГЕНЕРАЛЬНЫЙ ПЛАН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ОКРУГА</w:t>
      </w:r>
    </w:p>
    <w:p w:rsidR="002D276B" w:rsidRDefault="002D276B">
      <w:pPr>
        <w:spacing w:after="1" w:line="220" w:lineRule="atLeast"/>
        <w:jc w:val="center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КАРТА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МЕРОПРИЯТИЙ ПО ОХРАНЕ ОКРУЖАЮЩЕЙ СРЕДЫ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Исключена. - </w:t>
      </w:r>
      <w:hyperlink r:id="rId6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29.06.2017 N 77.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13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ГЕНЕРАЛЬНЫЙ ПЛАН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ОКРУГА</w:t>
      </w:r>
    </w:p>
    <w:p w:rsidR="002D276B" w:rsidRDefault="002D276B">
      <w:pPr>
        <w:spacing w:after="1" w:line="220" w:lineRule="atLeast"/>
        <w:jc w:val="center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КАРТА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ПЛАНИРУЕМЫХ ГРАНИЦ ГОРОДСКОГО ОКРУГА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Утратила силу. - </w:t>
      </w:r>
      <w:hyperlink r:id="rId6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26.04.2013 N 230.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Г.А.ВЕРЖИЦКИЙ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13.1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КАРТА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ГРАНИЦ НАСЕЛЕННОГО ПУНКТА ГОРОДА КЕМЕРОВО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Исключена. - </w:t>
      </w:r>
      <w:hyperlink r:id="rId6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29.06.2017 N 77.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14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НЕСЕКРЕТНО N 6397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ГЕНЕРАЛЬНЫЙ ПЛАН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ОКРУГА</w:t>
      </w:r>
    </w:p>
    <w:p w:rsidR="002D276B" w:rsidRDefault="002D276B">
      <w:pPr>
        <w:spacing w:after="1" w:line="220" w:lineRule="atLeast"/>
        <w:jc w:val="center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КАРТА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ЭТАПОВ РЕАЛИЗАЦИИ.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КАРТА ПЕРВООЧЕРЕДНОГО СТРОИТЕЛЬСТВА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Исключена. - </w:t>
      </w:r>
      <w:hyperlink r:id="rId6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29.06.2017 N 77.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15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НЕСЕКРЕТНО N 7107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ГЕНЕРАЛЬНЫЙ ПЛАН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ОКРУГА</w:t>
      </w:r>
    </w:p>
    <w:p w:rsidR="002D276B" w:rsidRDefault="002D276B">
      <w:pPr>
        <w:spacing w:after="1" w:line="220" w:lineRule="atLeast"/>
        <w:jc w:val="center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КАРТА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ПЛАНИРУЕМОГО РАЗМЕЩЕНИЯ ОБЪЕКТОВ КАПИТАЛЬНОГО СТРОИТЕЛЬСТВА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Исключена. - </w:t>
      </w:r>
      <w:hyperlink r:id="rId6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29.06.2017 N 77.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Кемеровского городского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Совета народных депутатов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пятого созыва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от 24 июня 2011 г. N 36</w:t>
      </w: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(шестое заседание)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right"/>
      </w:pPr>
      <w:r>
        <w:rPr>
          <w:rFonts w:ascii="Calibri" w:hAnsi="Calibri" w:cs="Calibri"/>
        </w:rPr>
        <w:t>НЕСЕКРЕТНО N 7106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ГЕНЕРАЛЬНЫЙ ПЛАН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ОКРУГА</w:t>
      </w:r>
    </w:p>
    <w:p w:rsidR="002D276B" w:rsidRDefault="002D276B">
      <w:pPr>
        <w:spacing w:after="1" w:line="220" w:lineRule="atLeast"/>
        <w:jc w:val="center"/>
      </w:pP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КАРТА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ПЛАНИРУЕМЫХ ГРАНИЦ ФУНКЦИОНАЛЬНЫХ ЗОН.</w:t>
      </w:r>
    </w:p>
    <w:p w:rsidR="002D276B" w:rsidRDefault="002D27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ПАРАМЕТРЫ ПЛАНИРУЕМОГО РАЗВИТИЯ ФУНКЦИОНАЛЬНЫХ ЗОН</w:t>
      </w: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Исключена. - </w:t>
      </w:r>
      <w:hyperlink r:id="rId6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Кемеровского городского Совета народных депутатов от 29.06.2017 N 77.</w:t>
      </w:r>
    </w:p>
    <w:p w:rsidR="002D276B" w:rsidRDefault="002D276B">
      <w:pPr>
        <w:spacing w:after="1" w:line="220" w:lineRule="atLeast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76B" w:rsidRDefault="002D276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Решением Кемеровского городского Совета народных депутатов от 29.06.2017 N 77 внесены изменения в приложения N </w:t>
            </w:r>
            <w:proofErr w:type="spellStart"/>
            <w:r>
              <w:rPr>
                <w:rFonts w:ascii="Calibri" w:hAnsi="Calibri" w:cs="Calibri"/>
                <w:color w:val="392C69"/>
              </w:rPr>
              <w:t>N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17, 18, 19.</w:t>
            </w:r>
          </w:p>
        </w:tc>
      </w:tr>
    </w:tbl>
    <w:p w:rsidR="002D276B" w:rsidRDefault="002D276B">
      <w:pPr>
        <w:spacing w:after="1" w:line="220" w:lineRule="atLeast"/>
        <w:jc w:val="both"/>
      </w:pPr>
    </w:p>
    <w:p w:rsidR="002D276B" w:rsidRDefault="002D276B">
      <w:pPr>
        <w:spacing w:after="1" w:line="220" w:lineRule="atLeast"/>
        <w:jc w:val="both"/>
      </w:pPr>
    </w:p>
    <w:p w:rsidR="002D276B" w:rsidRDefault="002D276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15A" w:rsidRDefault="00E8415A">
      <w:bookmarkStart w:id="3" w:name="_GoBack"/>
      <w:bookmarkEnd w:id="3"/>
    </w:p>
    <w:sectPr w:rsidR="00E8415A" w:rsidSect="002D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B2"/>
    <w:rsid w:val="002D276B"/>
    <w:rsid w:val="00602AB2"/>
    <w:rsid w:val="00B9380D"/>
    <w:rsid w:val="00E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2F6349-93A6-4389-A024-67D5B920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E893F335FB61B1B8900F132F4824C46D6B3BDF580803EBF6D1D4CEB1E979B161CAD49F665132D73634BC6FBC66EE553EE38ABAAEg8ZAJ" TargetMode="External"/><Relationship Id="rId21" Type="http://schemas.openxmlformats.org/officeDocument/2006/relationships/hyperlink" Target="consultantplus://offline/ref=3FE893F335FB61B1B890111E392478C16D6664D3580D01BCA987D299EEB97FE4218AD2CD241334826770E962BB6CA40578A885B8AD97CB46C4E8D46Ag0Z7J" TargetMode="External"/><Relationship Id="rId42" Type="http://schemas.openxmlformats.org/officeDocument/2006/relationships/hyperlink" Target="consultantplus://offline/ref=3FE893F335FB61B1B890111E392478C16D6664D3580C00B4A982D299EEB97FE4218AD2CD241334826770E962B86CA40578A885B8AD97CB46C4E8D46Ag0Z7J" TargetMode="External"/><Relationship Id="rId47" Type="http://schemas.openxmlformats.org/officeDocument/2006/relationships/hyperlink" Target="consultantplus://offline/ref=3FE893F335FB61B1B890111E392478C16D6664D3580C00B4A982D299EEB97FE4218AD2CD241334826770E962B96CA40578A885B8AD97CB46C4E8D46Ag0Z7J" TargetMode="External"/><Relationship Id="rId63" Type="http://schemas.openxmlformats.org/officeDocument/2006/relationships/hyperlink" Target="consultantplus://offline/ref=3FE893F335FB61B1B890111E392478C16D6664D35D060CBDA98E8F93E6E073E626858DDA235A38836770E86AB533A11069F08ABBB288C85AD8EAD6g6ZB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3FE893F335FB61B1B890111E392478C16D6664D35E0D0CB5A28E8F93E6E073E626858DDA235A38836770E967B533A11069F08ABBB288C85AD8EAD6g6Z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E893F335FB61B1B890111E392478C16D6664D3580E01BAAA87D299EEB97FE4218AD2CD241334826770E962BB6CA40578A885B8AD97CB46C4E8D46Ag0Z7J" TargetMode="External"/><Relationship Id="rId29" Type="http://schemas.openxmlformats.org/officeDocument/2006/relationships/hyperlink" Target="consultantplus://offline/ref=3FE893F335FB61B1B890111E392478C16D6664D3580D0CBEA887D299EEB97FE4218AD2CD241334826770E962B86CA40578A885B8AD97CB46C4E8D46Ag0Z7J" TargetMode="External"/><Relationship Id="rId11" Type="http://schemas.openxmlformats.org/officeDocument/2006/relationships/hyperlink" Target="consultantplus://offline/ref=3FE893F335FB61B1B890111E392478C16D6664D3500D09BEAF8E8F93E6E073E626858DDA235A38836770E967B533A11069F08ABBB288C85AD8EAD6g6ZBJ" TargetMode="External"/><Relationship Id="rId24" Type="http://schemas.openxmlformats.org/officeDocument/2006/relationships/hyperlink" Target="consultantplus://offline/ref=3FE893F335FB61B1B8900F132F4824C46D6E3DDE500B03EBF6D1D4CEB1E979B161CAD49867563F84637BBD33FA32FD563DE389B8B28BCA46gDZ9J" TargetMode="External"/><Relationship Id="rId32" Type="http://schemas.openxmlformats.org/officeDocument/2006/relationships/hyperlink" Target="consultantplus://offline/ref=3FE893F335FB61B1B890111E392478C16D6664D3510E0DB5AF8E8F93E6E073E626858DDA235A38836770E964B533A11069F08ABBB288C85AD8EAD6g6ZBJ" TargetMode="External"/><Relationship Id="rId37" Type="http://schemas.openxmlformats.org/officeDocument/2006/relationships/hyperlink" Target="consultantplus://offline/ref=3FE893F335FB61B1B890111E392478C16D6664D3580D0CBEA887D299EEB97FE4218AD2CD241334826770E962B96CA40578A885B8AD97CB46C4E8D46Ag0Z7J" TargetMode="External"/><Relationship Id="rId40" Type="http://schemas.openxmlformats.org/officeDocument/2006/relationships/hyperlink" Target="consultantplus://offline/ref=3FE893F335FB61B1B890111E392478C16D6664D3580D0CBEA887D299EEB97FE4218AD2CD241334826770E962B66CA40578A885B8AD97CB46C4E8D46Ag0Z7J" TargetMode="External"/><Relationship Id="rId45" Type="http://schemas.openxmlformats.org/officeDocument/2006/relationships/hyperlink" Target="consultantplus://offline/ref=3FE893F335FB61B1B890111E392478C16D6664D3580D0CBEA887D299EEB97FE4218AD2CD241334826770E962B76CA40578A885B8AD97CB46C4E8D46Ag0Z7J" TargetMode="External"/><Relationship Id="rId53" Type="http://schemas.openxmlformats.org/officeDocument/2006/relationships/hyperlink" Target="consultantplus://offline/ref=3FE893F335FB61B1B890111E392478C16D6664D3580D0CBEA887D299EEB97FE4218AD2CD241334826770E963BE6CA40578A885B8AD97CB46C4E8D46Ag0Z7J" TargetMode="External"/><Relationship Id="rId58" Type="http://schemas.openxmlformats.org/officeDocument/2006/relationships/hyperlink" Target="consultantplus://offline/ref=3FE893F335FB61B1B890111E392478C16D6664D3510E0DB5AF8E8F93E6E073E626858DDA235A38836773EF6AB533A11069F08ABBB288C85AD8EAD6g6ZBJ" TargetMode="External"/><Relationship Id="rId66" Type="http://schemas.openxmlformats.org/officeDocument/2006/relationships/hyperlink" Target="consultantplus://offline/ref=3FE893F335FB61B1B890111E392478C16D6664D3510E0DB5AF8E8F93E6E073E626858DDA235A38836773EF6AB533A11069F08ABBB288C85AD8EAD6g6ZBJ" TargetMode="External"/><Relationship Id="rId5" Type="http://schemas.openxmlformats.org/officeDocument/2006/relationships/hyperlink" Target="consultantplus://offline/ref=3FE893F335FB61B1B890111E392478C16D6664D35D060CBDA98E8F93E6E073E626858DDA235A38836770E967B533A11069F08ABBB288C85AD8EAD6g6ZBJ" TargetMode="External"/><Relationship Id="rId61" Type="http://schemas.openxmlformats.org/officeDocument/2006/relationships/hyperlink" Target="consultantplus://offline/ref=3FE893F335FB61B1B890111E392478C16D6664D3510E0DB5AF8E8F93E6E073E626858DDA235A38836773EF6AB533A11069F08ABBB288C85AD8EAD6g6ZBJ" TargetMode="External"/><Relationship Id="rId19" Type="http://schemas.openxmlformats.org/officeDocument/2006/relationships/hyperlink" Target="consultantplus://offline/ref=3FE893F335FB61B1B890111E392478C16D6664D35E0C0CBCAF8E8F93E6E073E626858DDA235A38836770E967B533A11069F08ABBB288C85AD8EAD6g6ZBJ" TargetMode="External"/><Relationship Id="rId14" Type="http://schemas.openxmlformats.org/officeDocument/2006/relationships/hyperlink" Target="consultantplus://offline/ref=3FE893F335FB61B1B890111E392478C16D6664D3580E08BAAE80D299EEB97FE4218AD2CD241334826770E962BB6CA40578A885B8AD97CB46C4E8D46Ag0Z7J" TargetMode="External"/><Relationship Id="rId22" Type="http://schemas.openxmlformats.org/officeDocument/2006/relationships/hyperlink" Target="consultantplus://offline/ref=3FE893F335FB61B1B890111E392478C16D6664D3580C0EBDAC80D299EEB97FE4218AD2CD241334826770E962BB6CA40578A885B8AD97CB46C4E8D46Ag0Z7J" TargetMode="External"/><Relationship Id="rId27" Type="http://schemas.openxmlformats.org/officeDocument/2006/relationships/hyperlink" Target="consultantplus://offline/ref=3FE893F335FB61B1B890111E392478C16D6664D3580C0DBCAB82D299EEB97FE4218AD2CD241334826770EB67B76CA40578A885B8AD97CB46C4E8D46Ag0Z7J" TargetMode="External"/><Relationship Id="rId30" Type="http://schemas.openxmlformats.org/officeDocument/2006/relationships/hyperlink" Target="consultantplus://offline/ref=3FE893F335FB61B1B890111E392478C16D6664D3580C0BBAA980D299EEB97FE4218AD2CD241334826770E962B86CA40578A885B8AD97CB46C4E8D46Ag0Z7J" TargetMode="External"/><Relationship Id="rId35" Type="http://schemas.openxmlformats.org/officeDocument/2006/relationships/hyperlink" Target="consultantplus://offline/ref=3FE893F335FB61B1B890111E392478C16D6664D3510E0DB5AF8E8F93E6E073E626858DDA235A38836770E865B533A11069F08ABBB288C85AD8EAD6g6ZBJ" TargetMode="External"/><Relationship Id="rId43" Type="http://schemas.openxmlformats.org/officeDocument/2006/relationships/hyperlink" Target="consultantplus://offline/ref=3FE893F335FB61B1B890111E392478C16D6664D3580D0CBEA887D299EEB97FE4218AD2CD241334826770E963BF6CA40578A885B8AD97CB46C4E8D46Ag0Z7J" TargetMode="External"/><Relationship Id="rId48" Type="http://schemas.openxmlformats.org/officeDocument/2006/relationships/hyperlink" Target="consultantplus://offline/ref=3FE893F335FB61B1B890111E392478C16D6664D3580C0EBDAC80D299EEB97FE4218AD2CD241334826770E962B86CA40578A885B8AD97CB46C4E8D46Ag0Z7J" TargetMode="External"/><Relationship Id="rId56" Type="http://schemas.openxmlformats.org/officeDocument/2006/relationships/hyperlink" Target="consultantplus://offline/ref=3FE893F335FB61B1B890111E392478C16D6664D3510E0DB5AF8E8F93E6E073E626858DDA235A38836773EF6AB533A11069F08ABBB288C85AD8EAD6g6ZBJ" TargetMode="External"/><Relationship Id="rId64" Type="http://schemas.openxmlformats.org/officeDocument/2006/relationships/hyperlink" Target="consultantplus://offline/ref=3FE893F335FB61B1B890111E392478C16D6664D3510E0DB5AF8E8F93E6E073E626858DDA235A38836773EF6AB533A11069F08ABBB288C85AD8EAD6g6ZB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3FE893F335FB61B1B890111E392478C16D6664D3510E0DB5AF8E8F93E6E073E626858DDA235A38836770E967B533A11069F08ABBB288C85AD8EAD6g6ZBJ" TargetMode="External"/><Relationship Id="rId51" Type="http://schemas.openxmlformats.org/officeDocument/2006/relationships/hyperlink" Target="consultantplus://offline/ref=3FE893F335FB61B1B890111E392478C16D6664D3580D0CBEA887D299EEB97FE4218AD2CD241334826770E963BC6CA40578A885B8AD97CB46C4E8D46Ag0Z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FE893F335FB61B1B890111E392478C16D6664D3500800BBA88E8F93E6E073E626858DDA235A38836770E967B533A11069F08ABBB288C85AD8EAD6g6ZBJ" TargetMode="External"/><Relationship Id="rId17" Type="http://schemas.openxmlformats.org/officeDocument/2006/relationships/hyperlink" Target="consultantplus://offline/ref=3FE893F335FB61B1B890111E392478C16D6664D3580D0CBEA887D299EEB97FE4218AD2CD241334826770E962BB6CA40578A885B8AD97CB46C4E8D46Ag0Z7J" TargetMode="External"/><Relationship Id="rId25" Type="http://schemas.openxmlformats.org/officeDocument/2006/relationships/hyperlink" Target="consultantplus://offline/ref=3FE893F335FB61B1B8900F132F4824C46D6E3DDE500B03EBF6D1D4CEB1E979B161CAD49867573A8B677BBD33FA32FD563DE389B8B28BCA46gDZ9J" TargetMode="External"/><Relationship Id="rId33" Type="http://schemas.openxmlformats.org/officeDocument/2006/relationships/hyperlink" Target="consultantplus://offline/ref=3FE893F335FB61B1B890111E392478C16D6664D3510E0DB5AF8E8F93E6E073E626858DDA235A38836770E864B533A11069F08ABBB288C85AD8EAD6g6ZBJ" TargetMode="External"/><Relationship Id="rId38" Type="http://schemas.openxmlformats.org/officeDocument/2006/relationships/hyperlink" Target="consultantplus://offline/ref=3FE893F335FB61B1B890111E392478C16D6664D35D0F0CBAAB8E8F93E6E073E626858DC823023481666EE860A065F056g3ZFJ" TargetMode="External"/><Relationship Id="rId46" Type="http://schemas.openxmlformats.org/officeDocument/2006/relationships/hyperlink" Target="consultantplus://offline/ref=3FE893F335FB61B1B890111E392478C16D6664D3500800BBA88E8F93E6E073E626858DDA235A38836770ED65B533A11069F08ABBB288C85AD8EAD6g6ZBJ" TargetMode="External"/><Relationship Id="rId59" Type="http://schemas.openxmlformats.org/officeDocument/2006/relationships/hyperlink" Target="consultantplus://offline/ref=3FE893F335FB61B1B890111E392478C16D6664D3510E0DB5AF8E8F93E6E073E626858DDA235A38836773EF6AB533A11069F08ABBB288C85AD8EAD6g6ZBJ" TargetMode="External"/><Relationship Id="rId67" Type="http://schemas.openxmlformats.org/officeDocument/2006/relationships/hyperlink" Target="consultantplus://offline/ref=3FE893F335FB61B1B890111E392478C16D6664D3510E0DB5AF8E8F93E6E073E626858DDA235A38836773EF6AB533A11069F08ABBB288C85AD8EAD6g6ZBJ" TargetMode="External"/><Relationship Id="rId20" Type="http://schemas.openxmlformats.org/officeDocument/2006/relationships/hyperlink" Target="consultantplus://offline/ref=3FE893F335FB61B1B890111E392478C16D6664D3580F0FBEAD82D299EEB97FE4218AD2CD241334826770E962BB6CA40578A885B8AD97CB46C4E8D46Ag0Z7J" TargetMode="External"/><Relationship Id="rId41" Type="http://schemas.openxmlformats.org/officeDocument/2006/relationships/hyperlink" Target="consultantplus://offline/ref=3FE893F335FB61B1B890111E392478C16D6664D3580D0CBEA887D299EEB97FE4218AD2CD241334826770E962B66CA40578A885B8AD97CB46C4E8D46Ag0Z7J" TargetMode="External"/><Relationship Id="rId54" Type="http://schemas.openxmlformats.org/officeDocument/2006/relationships/hyperlink" Target="consultantplus://offline/ref=3FE893F335FB61B1B890111E392478C16D6664D3580E0DBCA980D299EEB97FE4218AD2CD241334826770E963BD6CA40578A885B8AD97CB46C4E8D46Ag0Z7J" TargetMode="External"/><Relationship Id="rId62" Type="http://schemas.openxmlformats.org/officeDocument/2006/relationships/hyperlink" Target="consultantplus://offline/ref=3FE893F335FB61B1B890111E392478C16D6664D3510E0DB5AF8E8F93E6E073E626858DDA235A38836773EF6AB533A11069F08ABBB288C85AD8EAD6g6Z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893F335FB61B1B890111E392478C16D6664D35F0C09B8AF8E8F93E6E073E626858DDA235A38836770E967B533A11069F08ABBB288C85AD8EAD6g6ZBJ" TargetMode="External"/><Relationship Id="rId15" Type="http://schemas.openxmlformats.org/officeDocument/2006/relationships/hyperlink" Target="consultantplus://offline/ref=3FE893F335FB61B1B890111E392478C16D6664D3580E0DBCA980D299EEB97FE4218AD2CD241334826770E962BB6CA40578A885B8AD97CB46C4E8D46Ag0Z7J" TargetMode="External"/><Relationship Id="rId23" Type="http://schemas.openxmlformats.org/officeDocument/2006/relationships/hyperlink" Target="consultantplus://offline/ref=3FE893F335FB61B1B890111E392478C16D6664D3580C00B4A982D299EEB97FE4218AD2CD241334826770E962BB6CA40578A885B8AD97CB46C4E8D46Ag0Z7J" TargetMode="External"/><Relationship Id="rId28" Type="http://schemas.openxmlformats.org/officeDocument/2006/relationships/hyperlink" Target="consultantplus://offline/ref=3FE893F335FB61B1B890111E392478C16D6664D3580D0CBEA887D299EEB97FE4218AD2CD241334826770E962B66CA40578A885B8AD97CB46C4E8D46Ag0Z7J" TargetMode="External"/><Relationship Id="rId36" Type="http://schemas.openxmlformats.org/officeDocument/2006/relationships/hyperlink" Target="consultantplus://offline/ref=3FE893F335FB61B1B890111E392478C16D6664D3580C0BBAA980D299EEB97FE4218AD2CD241334826770E963BF6CA40578A885B8AD97CB46C4E8D46Ag0Z7J" TargetMode="External"/><Relationship Id="rId49" Type="http://schemas.openxmlformats.org/officeDocument/2006/relationships/hyperlink" Target="consultantplus://offline/ref=3FE893F335FB61B1B890111E392478C16D6664D3580C0BBAA980D299EEB97FE4218AD2CD241334826770E963BE6CA40578A885B8AD97CB46C4E8D46Ag0Z7J" TargetMode="External"/><Relationship Id="rId57" Type="http://schemas.openxmlformats.org/officeDocument/2006/relationships/hyperlink" Target="consultantplus://offline/ref=3FE893F335FB61B1B890111E392478C16D6664D35E0D0CB5A28E8F93E6E073E626858DDA235A38836770EB61B533A11069F08ABBB288C85AD8EAD6g6ZBJ" TargetMode="External"/><Relationship Id="rId10" Type="http://schemas.openxmlformats.org/officeDocument/2006/relationships/hyperlink" Target="consultantplus://offline/ref=3FE893F335FB61B1B890111E392478C16D6664D351060CBDA98E8F93E6E073E626858DDA235A38836770E967B533A11069F08ABBB288C85AD8EAD6g6ZBJ" TargetMode="External"/><Relationship Id="rId31" Type="http://schemas.openxmlformats.org/officeDocument/2006/relationships/hyperlink" Target="consultantplus://offline/ref=3FE893F335FB61B1B890111E392478C16D6664D3580C0BBAA980D299EEB97FE4218AD2CD241334826770E962B66CA40578A885B8AD97CB46C4E8D46Ag0Z7J" TargetMode="External"/><Relationship Id="rId44" Type="http://schemas.openxmlformats.org/officeDocument/2006/relationships/hyperlink" Target="consultantplus://offline/ref=3FE893F335FB61B1B890111E392478C16D6664D3580E01BAAA87D299EEB97FE4218AD2CD241334826770E963BE6CA40578A885B8AD97CB46C4E8D46Ag0Z7J" TargetMode="External"/><Relationship Id="rId52" Type="http://schemas.openxmlformats.org/officeDocument/2006/relationships/hyperlink" Target="consultantplus://offline/ref=3FE893F335FB61B1B890111E392478C16D6664D3580E01BAAA87D299EEB97FE4218AD2CD241334826770E963BF6CA40578A885B8AD97CB46C4E8D46Ag0Z7J" TargetMode="External"/><Relationship Id="rId60" Type="http://schemas.openxmlformats.org/officeDocument/2006/relationships/hyperlink" Target="consultantplus://offline/ref=3FE893F335FB61B1B890111E392478C16D6664D3510E0DB5AF8E8F93E6E073E626858DDA235A38836773EF6AB533A11069F08ABBB288C85AD8EAD6g6ZBJ" TargetMode="External"/><Relationship Id="rId65" Type="http://schemas.openxmlformats.org/officeDocument/2006/relationships/hyperlink" Target="consultantplus://offline/ref=3FE893F335FB61B1B890111E392478C16D6664D3510E0DB5AF8E8F93E6E073E626858DDA235A38836773EF6AB533A11069F08ABBB288C85AD8EAD6g6Z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E893F335FB61B1B890111E392478C16D6664D351080DBDA38E8F93E6E073E626858DDA235A38836770E967B533A11069F08ABBB288C85AD8EAD6g6ZBJ" TargetMode="External"/><Relationship Id="rId13" Type="http://schemas.openxmlformats.org/officeDocument/2006/relationships/hyperlink" Target="consultantplus://offline/ref=3FE893F335FB61B1B890111E392478C16D6664D3580F0CBAA88DD299EEB97FE4218AD2CD241334826770E962BB6CA40578A885B8AD97CB46C4E8D46Ag0Z7J" TargetMode="External"/><Relationship Id="rId18" Type="http://schemas.openxmlformats.org/officeDocument/2006/relationships/hyperlink" Target="consultantplus://offline/ref=3FE893F335FB61B1B890111E392478C16D6664D3580C0BBAA980D299EEB97FE4218AD2CD241334826770E962BB6CA40578A885B8AD97CB46C4E8D46Ag0Z7J" TargetMode="External"/><Relationship Id="rId39" Type="http://schemas.openxmlformats.org/officeDocument/2006/relationships/hyperlink" Target="consultantplus://offline/ref=3FE893F335FB61B1B890111E392478C16D6664D3510E0DB5AF8E8F93E6E073E626858DDA235A38836773EF6AB533A11069F08ABBB288C85AD8EAD6g6ZBJ" TargetMode="External"/><Relationship Id="rId34" Type="http://schemas.openxmlformats.org/officeDocument/2006/relationships/hyperlink" Target="consultantplus://offline/ref=3FE893F335FB61B1B8900F132F4824C46D6833DA5D0903EBF6D1D4CEB1E979B173CA8C9465562782656EEB62BCg6Z4J" TargetMode="External"/><Relationship Id="rId50" Type="http://schemas.openxmlformats.org/officeDocument/2006/relationships/hyperlink" Target="consultantplus://offline/ref=3FE893F335FB61B1B890111E392478C16D6664D3580D01BCA987D299EEB97FE4218AD2CD241334826770E962B86CA40578A885B8AD97CB46C4E8D46Ag0Z7J" TargetMode="External"/><Relationship Id="rId55" Type="http://schemas.openxmlformats.org/officeDocument/2006/relationships/hyperlink" Target="consultantplus://offline/ref=3FE893F335FB61B1B890111E392478C16D6664D3510E0DB5AF8E8F93E6E073E626858DDA235A38836773EF6AB533A11069F08ABBB288C85AD8EAD6g6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5973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uaig22</dc:creator>
  <cp:keywords/>
  <dc:description/>
  <cp:lastModifiedBy>uaig22</cp:lastModifiedBy>
  <cp:revision>1</cp:revision>
  <dcterms:created xsi:type="dcterms:W3CDTF">2023-12-21T09:25:00Z</dcterms:created>
  <dcterms:modified xsi:type="dcterms:W3CDTF">2023-12-21T09:26:00Z</dcterms:modified>
</cp:coreProperties>
</file>