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7" w:rsidRPr="009C141A" w:rsidRDefault="003E6DE2" w:rsidP="003E6D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3BD7"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  <w:bookmarkEnd w:id="0"/>
      <w:bookmarkEnd w:id="1"/>
    </w:p>
    <w:p w:rsidR="009C141A" w:rsidRPr="00612D42" w:rsidRDefault="00B83BD7" w:rsidP="003E6DE2">
      <w:pPr>
        <w:pStyle w:val="a6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 w:rsidR="005272A6">
        <w:rPr>
          <w:color w:val="000000"/>
          <w:sz w:val="24"/>
          <w:szCs w:val="24"/>
        </w:rPr>
        <w:t xml:space="preserve">  </w:t>
      </w:r>
      <w:r w:rsidR="006F5131">
        <w:rPr>
          <w:color w:val="000000"/>
          <w:sz w:val="24"/>
          <w:szCs w:val="24"/>
        </w:rPr>
        <w:t xml:space="preserve">  </w:t>
      </w:r>
      <w:r w:rsidR="009C141A" w:rsidRPr="00612D42">
        <w:rPr>
          <w:iCs/>
          <w:sz w:val="22"/>
          <w:szCs w:val="22"/>
        </w:rPr>
        <w:t>к документации об открытом аукционе</w:t>
      </w:r>
    </w:p>
    <w:p w:rsidR="009C141A" w:rsidRDefault="00D94B2E" w:rsidP="00D94B2E">
      <w:pPr>
        <w:pStyle w:val="a6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C141A" w:rsidRPr="00612D4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C6081C">
        <w:rPr>
          <w:sz w:val="22"/>
          <w:szCs w:val="22"/>
        </w:rPr>
        <w:t>4.08</w:t>
      </w:r>
      <w:r>
        <w:rPr>
          <w:sz w:val="22"/>
          <w:szCs w:val="22"/>
        </w:rPr>
        <w:t>.</w:t>
      </w:r>
      <w:r w:rsidR="00632693">
        <w:rPr>
          <w:sz w:val="22"/>
          <w:szCs w:val="22"/>
        </w:rPr>
        <w:t xml:space="preserve">2023 </w:t>
      </w:r>
      <w:r w:rsidR="00632693" w:rsidRPr="00612D42">
        <w:rPr>
          <w:sz w:val="22"/>
          <w:szCs w:val="22"/>
        </w:rPr>
        <w:t xml:space="preserve">№ </w:t>
      </w:r>
      <w:r w:rsidR="00C6081C">
        <w:rPr>
          <w:sz w:val="22"/>
          <w:szCs w:val="22"/>
        </w:rPr>
        <w:t>5</w:t>
      </w:r>
      <w:bookmarkStart w:id="2" w:name="_GoBack"/>
      <w:bookmarkEnd w:id="2"/>
      <w:r w:rsidR="00632693" w:rsidRPr="00612D42">
        <w:rPr>
          <w:sz w:val="22"/>
          <w:szCs w:val="22"/>
        </w:rPr>
        <w:t>А/2</w:t>
      </w:r>
      <w:r w:rsidR="00632693">
        <w:rPr>
          <w:sz w:val="22"/>
          <w:szCs w:val="22"/>
        </w:rPr>
        <w:t>3</w:t>
      </w:r>
    </w:p>
    <w:p w:rsidR="00632693" w:rsidRDefault="00632693" w:rsidP="003E6DE2">
      <w:pPr>
        <w:pStyle w:val="a6"/>
        <w:ind w:firstLine="555"/>
        <w:jc w:val="right"/>
        <w:rPr>
          <w:sz w:val="22"/>
          <w:szCs w:val="22"/>
        </w:rPr>
      </w:pPr>
    </w:p>
    <w:p w:rsidR="00C6081C" w:rsidRDefault="00C6081C" w:rsidP="00745767">
      <w:pPr>
        <w:pStyle w:val="a8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ТЕХНИЧЕСКАЯ ЧАСТЬ</w:t>
      </w:r>
    </w:p>
    <w:p w:rsidR="006D36F3" w:rsidRPr="006D36F3" w:rsidRDefault="00C6081C" w:rsidP="00745767">
      <w:pPr>
        <w:pStyle w:val="a8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D36F3" w:rsidRPr="006D36F3">
        <w:rPr>
          <w:color w:val="000000"/>
          <w:sz w:val="24"/>
          <w:szCs w:val="24"/>
        </w:rPr>
        <w:t xml:space="preserve">ля лотов №№ 1 - </w:t>
      </w:r>
      <w:r>
        <w:rPr>
          <w:color w:val="000000"/>
          <w:sz w:val="24"/>
          <w:szCs w:val="24"/>
        </w:rPr>
        <w:t>3</w:t>
      </w:r>
    </w:p>
    <w:p w:rsidR="00745767" w:rsidRPr="00F22F1F" w:rsidRDefault="00745767" w:rsidP="009C141A">
      <w:pPr>
        <w:pStyle w:val="a8"/>
        <w:ind w:left="7788"/>
        <w:rPr>
          <w:rFonts w:eastAsia="Times New Roman"/>
          <w:bCs w:val="0"/>
          <w:sz w:val="24"/>
          <w:szCs w:val="24"/>
        </w:rPr>
      </w:pPr>
    </w:p>
    <w:p w:rsidR="000B51D9" w:rsidRPr="008D34FC" w:rsidRDefault="00A90368" w:rsidP="00D7636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D76361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D7636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BD7" w:rsidRPr="008D34FC">
        <w:rPr>
          <w:rFonts w:ascii="Times New Roman" w:hAnsi="Times New Roman" w:cs="Times New Roman"/>
          <w:b/>
          <w:sz w:val="24"/>
          <w:szCs w:val="24"/>
          <w:lang w:val="ru-RU"/>
        </w:rPr>
        <w:t>«Рекламная стела»</w:t>
      </w:r>
    </w:p>
    <w:p w:rsidR="00A90368" w:rsidRPr="008D34FC" w:rsidRDefault="00A90368" w:rsidP="00A90368">
      <w:pPr>
        <w:pStyle w:val="a3"/>
        <w:rPr>
          <w:b/>
          <w:sz w:val="18"/>
          <w:szCs w:val="18"/>
        </w:rPr>
      </w:pPr>
    </w:p>
    <w:tbl>
      <w:tblPr>
        <w:tblW w:w="14034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A170AF" w:rsidRPr="00A6536F" w:rsidTr="009E3D8F">
        <w:trPr>
          <w:trHeight w:val="230"/>
        </w:trPr>
        <w:tc>
          <w:tcPr>
            <w:tcW w:w="6805" w:type="dxa"/>
            <w:gridSpan w:val="2"/>
            <w:vAlign w:val="bottom"/>
          </w:tcPr>
          <w:p w:rsidR="00A170AF" w:rsidRPr="00A7561D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170AF" w:rsidRPr="00873F78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A170AF" w:rsidRPr="00873F78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0368" w:rsidRPr="008B5DE4" w:rsidTr="009E3D8F">
        <w:trPr>
          <w:trHeight w:val="297"/>
        </w:trPr>
        <w:tc>
          <w:tcPr>
            <w:tcW w:w="2836" w:type="dxa"/>
          </w:tcPr>
          <w:p w:rsidR="00A90368" w:rsidRPr="00655EA9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>Высота</w:t>
            </w:r>
          </w:p>
        </w:tc>
        <w:tc>
          <w:tcPr>
            <w:tcW w:w="3969" w:type="dxa"/>
          </w:tcPr>
          <w:p w:rsidR="00A90368" w:rsidRPr="00655EA9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3BD7">
              <w:rPr>
                <w:rFonts w:ascii="Times New Roman" w:hAnsi="Times New Roman" w:cs="Times New Roman"/>
                <w:lang w:val="ru-RU"/>
              </w:rPr>
              <w:t>не более 8 000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2835" w:type="dxa"/>
          </w:tcPr>
          <w:p w:rsidR="00A90368" w:rsidRPr="008810A1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</w:tcPr>
          <w:p w:rsidR="00A90368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  <w:p w:rsidR="008D20E2" w:rsidRPr="008810A1" w:rsidRDefault="008D20E2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8B5DE4" w:rsidTr="009E3D8F">
        <w:trPr>
          <w:trHeight w:val="270"/>
        </w:trPr>
        <w:tc>
          <w:tcPr>
            <w:tcW w:w="2836" w:type="dxa"/>
          </w:tcPr>
          <w:p w:rsidR="00A90368" w:rsidRPr="00A611E3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>Размер рекламного изображения</w:t>
            </w:r>
          </w:p>
        </w:tc>
        <w:tc>
          <w:tcPr>
            <w:tcW w:w="3969" w:type="dxa"/>
          </w:tcPr>
          <w:p w:rsidR="00A90368" w:rsidRPr="00A611E3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11E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3BD7">
              <w:rPr>
                <w:rFonts w:ascii="Times New Roman" w:hAnsi="Times New Roman" w:cs="Times New Roman"/>
                <w:lang w:val="ru-RU"/>
              </w:rPr>
              <w:t>не более 16 кв.м (одна сторона)</w:t>
            </w:r>
          </w:p>
        </w:tc>
        <w:tc>
          <w:tcPr>
            <w:tcW w:w="2835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90368" w:rsidRPr="00B83BD7" w:rsidRDefault="00240806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</w:tcPr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90368" w:rsidRPr="00B83BD7" w:rsidRDefault="00AB26D7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>- с</w:t>
            </w:r>
            <w:r w:rsidR="00240806">
              <w:rPr>
                <w:rFonts w:ascii="Times New Roman" w:hAnsi="Times New Roman" w:cs="Times New Roman"/>
                <w:lang w:val="ru-RU"/>
              </w:rPr>
              <w:t>менное изображение не допускается</w:t>
            </w:r>
          </w:p>
        </w:tc>
      </w:tr>
      <w:tr w:rsidR="003228CE" w:rsidRPr="00B83BD7" w:rsidTr="009E3D8F">
        <w:trPr>
          <w:trHeight w:val="688"/>
        </w:trPr>
        <w:tc>
          <w:tcPr>
            <w:tcW w:w="2836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408AD" w:rsidRDefault="008408AD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228CE" w:rsidRPr="00704905" w:rsidRDefault="003228CE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Техническое описание</w:t>
            </w:r>
          </w:p>
        </w:tc>
        <w:tc>
          <w:tcPr>
            <w:tcW w:w="3969" w:type="dxa"/>
          </w:tcPr>
          <w:p w:rsidR="003228CE" w:rsidRPr="00704905" w:rsidRDefault="00B83BD7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конструкция выполняется по индивидуальному проекту в виде</w:t>
            </w:r>
            <w:r w:rsidR="00240806">
              <w:rPr>
                <w:rFonts w:ascii="Times New Roman" w:hAnsi="Times New Roman" w:cs="Times New Roman"/>
                <w:lang w:val="ru-RU"/>
              </w:rPr>
              <w:t xml:space="preserve"> стандартных геометрических форм (например, прямоугольник, квадрат, круг)</w:t>
            </w:r>
          </w:p>
        </w:tc>
        <w:tc>
          <w:tcPr>
            <w:tcW w:w="2835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228CE" w:rsidRPr="00D97D0D" w:rsidRDefault="0051723A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</w:tcPr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228CE" w:rsidRPr="00D97D0D" w:rsidRDefault="0051723A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внутренняя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 w:rsidR="0048669B"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B26D7" w:rsidRPr="00AB26D7" w:rsidRDefault="00AB26D7" w:rsidP="001F55F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6D7">
        <w:rPr>
          <w:rFonts w:ascii="Times New Roman" w:hAnsi="Times New Roman" w:cs="Times New Roman"/>
          <w:b/>
          <w:sz w:val="24"/>
          <w:szCs w:val="24"/>
          <w:lang w:val="ru-RU"/>
        </w:rPr>
        <w:t>Рекламная стела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 информационного и навигационного назначения, размещаемая на отдельном постаменте (фундаменте). Используется с целью информирования о месте расположения организации, предприятия, сфере и видах  деятельности.</w:t>
      </w:r>
    </w:p>
    <w:p w:rsidR="00AB26D7" w:rsidRPr="00AB26D7" w:rsidRDefault="00AB26D7" w:rsidP="001F55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Рекламные стелы выполняются по индивидуальным проектам из современных материалов, имеют высоту не более 8 м и площадь одной стороны не более 16 кв. м. Рекламная стела должна быть изготовлена в виде стандартных геометрических форм (например, прямоугольник, квадрат, круг), не может иметь сменного изображения. В качестве подсветки допускается только внутренняя подсветка.</w:t>
      </w:r>
    </w:p>
    <w:p w:rsidR="001F55FD" w:rsidRPr="001F55FD" w:rsidRDefault="00AB26D7" w:rsidP="001F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1F55FD" w:rsidRPr="001F55FD">
        <w:rPr>
          <w:rFonts w:ascii="Times New Roman" w:hAnsi="Times New Roman" w:cs="Times New Roman"/>
          <w:sz w:val="24"/>
          <w:szCs w:val="24"/>
        </w:rPr>
        <w:t>Рекламная стела должна быть оборудована системой аварийного отключения от сети электропитания и соответствовать требованиям пожарной безопасности.</w:t>
      </w:r>
    </w:p>
    <w:p w:rsidR="00AB26D7" w:rsidRPr="001F55FD" w:rsidRDefault="00AB26D7" w:rsidP="001F55FD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материала для размещения рекламной информации не может применяться баннерная ткань.</w:t>
      </w:r>
    </w:p>
    <w:p w:rsidR="00AB26D7" w:rsidRPr="00AB26D7" w:rsidRDefault="00AB26D7" w:rsidP="001F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Фундамент должен быть заглублен на 15 - 20 см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1D4CAF" w:rsidRDefault="001D4CAF" w:rsidP="00AB26D7">
      <w:pPr>
        <w:pStyle w:val="a6"/>
        <w:tabs>
          <w:tab w:val="left" w:pos="540"/>
        </w:tabs>
        <w:jc w:val="both"/>
        <w:rPr>
          <w:szCs w:val="28"/>
        </w:rPr>
      </w:pPr>
    </w:p>
    <w:p w:rsidR="00E61957" w:rsidRPr="00583691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583691">
        <w:rPr>
          <w:rFonts w:ascii="Times New Roman" w:hAnsi="Times New Roman" w:cs="Times New Roman"/>
          <w:b/>
          <w:color w:val="000000"/>
          <w:u w:val="single"/>
          <w:lang w:val="ru-RU"/>
        </w:rPr>
        <w:lastRenderedPageBreak/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горэлектросеть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, КЛ-0,4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 определить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шурфлением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lang w:val="ru-RU"/>
        </w:rPr>
        <w:t>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рекламная конструкция может быть демонтирована силами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шурфования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Филиал АО «Кузбассэнерго» -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теплосетевая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E61957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DD0C25">
        <w:rPr>
          <w:rFonts w:ascii="Times New Roman" w:hAnsi="Times New Roman" w:cs="Times New Roman"/>
          <w:lang w:val="ru-RU"/>
        </w:rPr>
        <w:t>каб</w:t>
      </w:r>
      <w:proofErr w:type="spellEnd"/>
      <w:r w:rsidRPr="00DD0C25">
        <w:rPr>
          <w:rFonts w:ascii="Times New Roman" w:hAnsi="Times New Roman" w:cs="Times New Roman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lastRenderedPageBreak/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Федеральному закону от 13 марта 2006 г. № 38-ФЗ «О рекламе»; 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21 декабря 1994 г. № 69-ФЗ «О пожарной безопасности»;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Федеральному закону от 22 июля 2008 г. № 123-ФЗ «Технический регламент о требованиях пожарной безопасности»;</w:t>
      </w:r>
    </w:p>
    <w:p w:rsidR="00E61957" w:rsidRPr="00DD0C25" w:rsidRDefault="00E61957" w:rsidP="00E619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ГОСТу Р 52044-2003 «</w:t>
      </w:r>
      <w:r w:rsidRPr="00DD0C25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Приказу Министерства энергетики РФ от 13 января 2003 г. № 6 «Об утверждении Правил технической эксплуатации электроустановок потребителей»;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</w:t>
      </w:r>
      <w:r w:rsidR="000F120C">
        <w:rPr>
          <w:rFonts w:ascii="Times New Roman" w:hAnsi="Times New Roman" w:cs="Times New Roman"/>
          <w:lang w:val="ru-RU"/>
        </w:rPr>
        <w:t xml:space="preserve"> России от 07.11.2016 № 777/</w:t>
      </w:r>
      <w:proofErr w:type="spellStart"/>
      <w:r w:rsidR="000F120C">
        <w:rPr>
          <w:rFonts w:ascii="Times New Roman" w:hAnsi="Times New Roman" w:cs="Times New Roman"/>
          <w:lang w:val="ru-RU"/>
        </w:rPr>
        <w:t>пр</w:t>
      </w:r>
      <w:proofErr w:type="spellEnd"/>
      <w:r w:rsidR="000F120C">
        <w:rPr>
          <w:rFonts w:ascii="Times New Roman" w:hAnsi="Times New Roman" w:cs="Times New Roman"/>
          <w:lang w:val="ru-RU"/>
        </w:rPr>
        <w:t>),</w:t>
      </w:r>
    </w:p>
    <w:p w:rsidR="00E61957" w:rsidRPr="00DD0C25" w:rsidRDefault="00E61957" w:rsidP="00E61957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E967E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B51D9"/>
    <w:rsid w:val="000D5A84"/>
    <w:rsid w:val="000F120C"/>
    <w:rsid w:val="00143597"/>
    <w:rsid w:val="001673D9"/>
    <w:rsid w:val="001C427E"/>
    <w:rsid w:val="001D4CAF"/>
    <w:rsid w:val="001F239E"/>
    <w:rsid w:val="001F55FD"/>
    <w:rsid w:val="00240806"/>
    <w:rsid w:val="00267A07"/>
    <w:rsid w:val="00276604"/>
    <w:rsid w:val="00282833"/>
    <w:rsid w:val="002B68E5"/>
    <w:rsid w:val="002E1A19"/>
    <w:rsid w:val="002E1F09"/>
    <w:rsid w:val="002E7A35"/>
    <w:rsid w:val="003228CE"/>
    <w:rsid w:val="003901E0"/>
    <w:rsid w:val="003D2F48"/>
    <w:rsid w:val="003E6DE2"/>
    <w:rsid w:val="004350A2"/>
    <w:rsid w:val="00440508"/>
    <w:rsid w:val="00466223"/>
    <w:rsid w:val="0048669B"/>
    <w:rsid w:val="00491C4B"/>
    <w:rsid w:val="004C7394"/>
    <w:rsid w:val="0051723A"/>
    <w:rsid w:val="005272A6"/>
    <w:rsid w:val="00583691"/>
    <w:rsid w:val="005E4D88"/>
    <w:rsid w:val="00632693"/>
    <w:rsid w:val="00655EA9"/>
    <w:rsid w:val="00683BF2"/>
    <w:rsid w:val="006D36F3"/>
    <w:rsid w:val="006F5131"/>
    <w:rsid w:val="00704905"/>
    <w:rsid w:val="007338F5"/>
    <w:rsid w:val="00745767"/>
    <w:rsid w:val="0075481F"/>
    <w:rsid w:val="007B7443"/>
    <w:rsid w:val="007D5846"/>
    <w:rsid w:val="008215BF"/>
    <w:rsid w:val="008408AD"/>
    <w:rsid w:val="00873F78"/>
    <w:rsid w:val="008810A1"/>
    <w:rsid w:val="008D20E2"/>
    <w:rsid w:val="008D34FC"/>
    <w:rsid w:val="00990525"/>
    <w:rsid w:val="009C141A"/>
    <w:rsid w:val="009E3D8F"/>
    <w:rsid w:val="009F5427"/>
    <w:rsid w:val="00A170AF"/>
    <w:rsid w:val="00A43828"/>
    <w:rsid w:val="00A611E3"/>
    <w:rsid w:val="00A64FBA"/>
    <w:rsid w:val="00A6536F"/>
    <w:rsid w:val="00A7561D"/>
    <w:rsid w:val="00A80FB6"/>
    <w:rsid w:val="00A90368"/>
    <w:rsid w:val="00A90F40"/>
    <w:rsid w:val="00AB26D7"/>
    <w:rsid w:val="00AB59CB"/>
    <w:rsid w:val="00AD25D3"/>
    <w:rsid w:val="00B102AC"/>
    <w:rsid w:val="00B1358A"/>
    <w:rsid w:val="00B83BD7"/>
    <w:rsid w:val="00BF1AB2"/>
    <w:rsid w:val="00C20575"/>
    <w:rsid w:val="00C60349"/>
    <w:rsid w:val="00C6081C"/>
    <w:rsid w:val="00CC102D"/>
    <w:rsid w:val="00D76361"/>
    <w:rsid w:val="00D94B2E"/>
    <w:rsid w:val="00D97D0D"/>
    <w:rsid w:val="00DA31C0"/>
    <w:rsid w:val="00DE06C9"/>
    <w:rsid w:val="00E61957"/>
    <w:rsid w:val="00E967EB"/>
    <w:rsid w:val="00F22F1F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6779-C57D-4FD2-B13B-503E9C3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2939-4E0E-42C4-97C0-BDF4990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60</cp:revision>
  <cp:lastPrinted>2022-05-23T06:59:00Z</cp:lastPrinted>
  <dcterms:created xsi:type="dcterms:W3CDTF">2019-06-13T04:47:00Z</dcterms:created>
  <dcterms:modified xsi:type="dcterms:W3CDTF">2023-08-08T09:08:00Z</dcterms:modified>
</cp:coreProperties>
</file>