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4E" w:rsidRDefault="008E68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684E" w:rsidRDefault="008E684E">
      <w:pPr>
        <w:pStyle w:val="ConsPlusNormal"/>
        <w:jc w:val="both"/>
        <w:outlineLvl w:val="0"/>
      </w:pPr>
    </w:p>
    <w:p w:rsidR="008E684E" w:rsidRDefault="008E684E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8E684E" w:rsidRDefault="008E684E">
      <w:pPr>
        <w:pStyle w:val="ConsPlusTitle"/>
        <w:jc w:val="center"/>
      </w:pPr>
      <w:r>
        <w:t>(пятый созыв, шестьдесят восьмое заседание)</w:t>
      </w:r>
    </w:p>
    <w:p w:rsidR="008E684E" w:rsidRDefault="008E684E">
      <w:pPr>
        <w:pStyle w:val="ConsPlusTitle"/>
        <w:jc w:val="center"/>
      </w:pPr>
    </w:p>
    <w:p w:rsidR="008E684E" w:rsidRDefault="008E684E">
      <w:pPr>
        <w:pStyle w:val="ConsPlusTitle"/>
        <w:jc w:val="center"/>
      </w:pPr>
      <w:r>
        <w:t>РЕШЕНИЕ</w:t>
      </w:r>
    </w:p>
    <w:p w:rsidR="008E684E" w:rsidRDefault="008E684E">
      <w:pPr>
        <w:pStyle w:val="ConsPlusTitle"/>
        <w:jc w:val="center"/>
      </w:pPr>
      <w:r>
        <w:t>от 29 января 2016 г. N 453</w:t>
      </w:r>
    </w:p>
    <w:p w:rsidR="008E684E" w:rsidRDefault="008E684E">
      <w:pPr>
        <w:pStyle w:val="ConsPlusTitle"/>
        <w:jc w:val="center"/>
      </w:pPr>
    </w:p>
    <w:p w:rsidR="008E684E" w:rsidRDefault="008E684E">
      <w:pPr>
        <w:pStyle w:val="ConsPlusTitle"/>
        <w:jc w:val="center"/>
      </w:pPr>
      <w:r>
        <w:t>ОБ УТВЕРЖДЕНИИ ПРАВИЛ СОДЕРЖАНИЯ</w:t>
      </w:r>
    </w:p>
    <w:p w:rsidR="008E684E" w:rsidRDefault="008E684E">
      <w:pPr>
        <w:pStyle w:val="ConsPlusTitle"/>
        <w:jc w:val="center"/>
      </w:pPr>
      <w:r>
        <w:t>МЕСТ ПОГРЕБЕНИЯ НА ТЕРРИТОРИИ ГОРОДА КЕМЕРОВО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Кемеровской области от 18.11.2004 N 82-ОЗ "О погребении и похоронном деле в Кемеровской области",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Кемерово, Кемеровский городской Совет народных депутатов решил: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Правила</w:t>
        </w:r>
      </w:hyperlink>
      <w:r>
        <w:t xml:space="preserve"> содержания мест погребения на территории города Кемерово согласно приложению.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31.01.2003 N 72 "О Правилах содержания кладбищ города Кемерово".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 Опубликовать настоящее решение в печатных средствах массовой информации.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 Данное решение вступает в силу после его опубликования.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5. Контроль за исполнением данного решения возложить на комитет Кемеровского городского Совета народных депутатов по развитию городского хозяйства и экологии (Н.Н.Сенчуров).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jc w:val="right"/>
      </w:pPr>
      <w:r>
        <w:t>Заместитель Председателя</w:t>
      </w:r>
    </w:p>
    <w:p w:rsidR="008E684E" w:rsidRDefault="008E684E">
      <w:pPr>
        <w:pStyle w:val="ConsPlusNormal"/>
        <w:jc w:val="right"/>
      </w:pPr>
      <w:r>
        <w:t>Кемеровского городского</w:t>
      </w:r>
    </w:p>
    <w:p w:rsidR="008E684E" w:rsidRDefault="008E684E">
      <w:pPr>
        <w:pStyle w:val="ConsPlusNormal"/>
        <w:jc w:val="right"/>
      </w:pPr>
      <w:r>
        <w:t>Совета народных депутатов</w:t>
      </w:r>
    </w:p>
    <w:p w:rsidR="008E684E" w:rsidRDefault="008E684E">
      <w:pPr>
        <w:pStyle w:val="ConsPlusNormal"/>
        <w:jc w:val="right"/>
      </w:pPr>
      <w:r>
        <w:t>Н.Н.СЕНЧУРОВ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jc w:val="right"/>
      </w:pPr>
      <w:r>
        <w:t>Глава города</w:t>
      </w:r>
    </w:p>
    <w:p w:rsidR="008E684E" w:rsidRDefault="008E684E">
      <w:pPr>
        <w:pStyle w:val="ConsPlusNormal"/>
        <w:jc w:val="right"/>
      </w:pPr>
      <w:r>
        <w:t>В.К.ЕРМАКОВ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jc w:val="right"/>
        <w:outlineLvl w:val="0"/>
      </w:pPr>
      <w:r>
        <w:t>Приложение</w:t>
      </w:r>
    </w:p>
    <w:p w:rsidR="008E684E" w:rsidRDefault="008E684E">
      <w:pPr>
        <w:pStyle w:val="ConsPlusNormal"/>
        <w:jc w:val="right"/>
      </w:pPr>
      <w:r>
        <w:t>к решению</w:t>
      </w:r>
    </w:p>
    <w:p w:rsidR="008E684E" w:rsidRDefault="008E684E">
      <w:pPr>
        <w:pStyle w:val="ConsPlusNormal"/>
        <w:jc w:val="right"/>
      </w:pPr>
      <w:r>
        <w:t>Кемеровского городского</w:t>
      </w:r>
    </w:p>
    <w:p w:rsidR="008E684E" w:rsidRDefault="008E684E">
      <w:pPr>
        <w:pStyle w:val="ConsPlusNormal"/>
        <w:jc w:val="right"/>
      </w:pPr>
      <w:r>
        <w:t>Совета народных депутатов</w:t>
      </w:r>
    </w:p>
    <w:p w:rsidR="008E684E" w:rsidRDefault="008E684E">
      <w:pPr>
        <w:pStyle w:val="ConsPlusNormal"/>
        <w:jc w:val="right"/>
      </w:pPr>
      <w:r>
        <w:t>пятого созыва</w:t>
      </w:r>
    </w:p>
    <w:p w:rsidR="008E684E" w:rsidRDefault="008E684E">
      <w:pPr>
        <w:pStyle w:val="ConsPlusNormal"/>
        <w:jc w:val="right"/>
      </w:pPr>
      <w:r>
        <w:t>от 29 января 2016 г. N 453</w:t>
      </w:r>
    </w:p>
    <w:p w:rsidR="008E684E" w:rsidRDefault="008E684E">
      <w:pPr>
        <w:pStyle w:val="ConsPlusNormal"/>
        <w:jc w:val="right"/>
      </w:pPr>
      <w:r>
        <w:t>(шестьдесят восьмое заседание)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Title"/>
        <w:jc w:val="center"/>
      </w:pPr>
      <w:bookmarkStart w:id="0" w:name="P38"/>
      <w:bookmarkEnd w:id="0"/>
      <w:r>
        <w:t>ПРАВИЛА</w:t>
      </w:r>
    </w:p>
    <w:p w:rsidR="008E684E" w:rsidRDefault="008E684E">
      <w:pPr>
        <w:pStyle w:val="ConsPlusTitle"/>
        <w:jc w:val="center"/>
      </w:pPr>
      <w:r>
        <w:t>СОДЕРЖАНИЯ МЕСТ ПОГРЕБЕНИЯ НА ТЕРРИТОРИИ ГОРОДА КЕМЕРОВО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  <w:r>
        <w:t xml:space="preserve">1.1. Правила содержания мест погребения на территории города Кемерово (далее - Правила) разработаны в целях обеспечения надлежащего содержания мест погребения, находящихся на территории города Кемерово,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деле", </w:t>
      </w:r>
      <w:hyperlink r:id="rId12" w:history="1">
        <w:r>
          <w:rPr>
            <w:color w:val="0000FF"/>
          </w:rPr>
          <w:t>СанПиН N 2.1.2882-11</w:t>
        </w:r>
      </w:hyperlink>
      <w:r>
        <w:t xml:space="preserve"> ("Гигиенические требования к размещению, устройству и содержанию кладбищ, зданий и сооружений похоронного назначения"), ГОСТ Р 54611-2011. Национальный стандарт Российской Федерации. Услуги бытовые. Услуги по организации и проведению похорон. Общие требования (утвержден Приказом Федерального агентства по техническому регулированию и метрологии от 08.12.2011 N 746-ст), МДК 11-01.2002. Рекомендации о порядке похорон и содержании кладбищ в Российской Федерации" (рекомендованы протоколом Госстроя РФ от 25.12.2001 N 01-нс-22/1), СП 59.13330.2012. Свод правил. Доступность зданий и сооружений для маломобильных групп населения. Актуализированная редакция СНиП 35-01-2001,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Кемеровской области от 18.11.2004 N 82-ОЗ "О погребении и похоронном деле в Кемеровской области",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Кемерово.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1.2. Данные Правила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1.3. Места погребения, находящиеся на территории города Кемерово, по принадлежности являются муниципальными, по обычаям - общественными.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jc w:val="center"/>
        <w:outlineLvl w:val="1"/>
      </w:pPr>
      <w:r>
        <w:t>II. Оборудование территории мест погребения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  <w:r>
        <w:t>2.1. Территория мест погребения подразделяется на функционально-территориальные зоны: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2.1.1. Входная зона - функционально-территориальная зона, на которой предусмотрены въезды-выезды для автотранспорта и входы-выходы для посетителей, салон-магазин, автостоянки и остановки общественного транспорта, справочно-информационные стенды, цветочные киоски и места продажи цветов, общественные туалеты, скамьи, питьевые фонтанчики, показательные участки оформления захоронения.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2.1.2. Административно-хозяйственная зона - функционально-территориальная зона с отдельным въездом, на которой размещаются административно-бытовые здания, гаражи, мастерские по изготовлению надгробий, котельная - в случае значительного удаления места погребения от сетей ТЭЦ, материальные и инвентарные склады.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2.1.3. Ритуальная зона - функционально-территориальная зона, на которой размещаются здания и сооружения для проведения скорбных и траурных обрядов, культовые здания и сооружения, памятники общественного значения, площадки для отдыха с навесами.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2.1.4. Зона захоронений - функционально-территориальная зона, на которой осуществляется погребение.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2.1.5. Зона моральной защиты - функционально-территориальная зона, расположенная по периметру и (или) разделяющая зону захоронений на участки площадью не более 40 га полосой зеленых насаждений и предназначенная для их визуальной изоляции.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 На территории мест погребения следует предусматривать: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 xml:space="preserve">2.2.1. Стенд с планом места погребения, на котором обозначаются основные зоны, здания и сооружения, кварталы захоронений, их нумерация. Стенд с планом следует устанавливать на </w:t>
      </w:r>
      <w:r>
        <w:lastRenderedPageBreak/>
        <w:t>территории места погребения у главного входа.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2.2.2. Вывеску с названием места погребения и режимом его работы, а также правила посещения места погребения.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2.2.3. Указатели номеров кварталов и аллей захоронений.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2.2.4. Указатели места расположения зданий и сооружений.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2.2.5. Стоянки для автокатафалков и автотранспорта.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2.2.6. Проезды и пешеходные дорожки.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2.2.7. Объекты наружного освещения.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2.2.8. Ограждение территории места погребения.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2.2.9. Общественные туалеты (туалетные кабины).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2.2.10. Контейнеры для сбора мусора, установленные на специально оборудованных площадках.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2.3. Места погребения и захоронения, иные объекты похоронного назначения должны обеспечивать лицам с ограниченными возможностями здоровья доступность для их посещения, беспрепятственного пользования услугами, предоставляемыми на этих объектах.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jc w:val="center"/>
        <w:outlineLvl w:val="1"/>
      </w:pPr>
      <w:r>
        <w:t>III. Содержание мест погребения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  <w:r>
        <w:t>3.1. Содержание мест погребения обеспечивается администрацией города Кемерово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 нужд) и осуществляется в соответствии с экологическими, санитарными требованиями и настоящими Правилами.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 Работы по содержанию мест погребения включают: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3.2.1. Механизированную и ручную уборку дорог, тротуаров и пешеходных дорожек в летний и зимний периоды, включая обработку противогололедными материалами в зимний период.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3.2.2. Окос травы с периодичностью, которая обеспечит высоту травяного покрова не выше 15 сантиметров.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3.2.3. Снос аварийных и сухих деревьев, кустарников, а также посадку новых деревьев, кустарников в случае их сноса.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 xml:space="preserve">3.2.4. Содержание зеленых насаждений в соответствии с требованиями "СНиП III-10-75. Благоустройство территорий",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создания, охраны и содержания зеленых насаждений в городах Российской Федерации, утвержденными приказом Госстроя Российской Федерации от 15.12.1999 N 153.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3.2.5. Содержание в исправном состоянии имущества, находящегося на территории мест погребения, - зданий, сооружений, ограждений, ливневой канализации и т.д.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3.2.6. Обустройство и содержание контейнерных площадок для сбора мусора.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3.2.7. Своевременный сбор и вывоз мусора, обеспечивающий соблюдение требований санитарно-эпидемиологического законодательства Российской Федерации.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lastRenderedPageBreak/>
        <w:t>3.2.8. Содержание и ремонт контейнеров для сбора мусора, указателей с наименованием кварталов и аллей, включая их покраску.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3.2.9. Содержание и ремонт системы водоснабжения для поливочных целей.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3.2.10. Содержание общественных туалетов (туалетных кабин) и вывоз жидких отходов.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3.2.11. Содержание объектов наружного освещения мест погребения.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3.3. Площадки для мусоросборников должны быть ограждены и иметь твердое покрытие (асфальтирование, бетонирование).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3.4. Ответственность за содержание захоронений, намогильных сооружений и зеленых насаждений на местах захоронений возлагается на лиц, ответственных за места захоронений, указанных в удостоверении о захоронении.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3.5. Лицо, ответственное за место захоронения, обязано содержать намогильные сооружения и живую зеленую изгородь из кустарника в надлежащем порядке, своевременно производить оправку надгробий.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jc w:val="center"/>
        <w:outlineLvl w:val="1"/>
      </w:pPr>
      <w:r>
        <w:t>IV. Правила посещения мест погребения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  <w:r>
        <w:t>4.1. На территории мест погребения должны соблюдаться общественный порядок и тишина.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4.2. Посетители мест погребения вправе: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4.2.1. Устанавливать намогильные сооружения в границах участка захоронения.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4.2.2. Сажать цветы на могильном участке, живую зеленую изгородь из кустарника с последующей ее подстрижкой.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4.2.3. Сажать деревья в соответствии с проектом озеленения места погребения.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4.2.4. Беспрепятственно проезжать на территорию места погребения в случаях установки (замены) намогильных сооружений.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4.3. На территории мест погребения запрещается: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4.3.1. Портить намогильные сооружения, оборудование мест погребения, засорять территорию.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4.3.2. Ломать зеленые насаждения, рвать цветы.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4.3.3. Водить собак, ловить птиц.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4.3.4. Разводить костры, добывать песок и глину, резать дерн.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4.3.5. Ездить на велосипедах, мопедах, мотоциклах, лыжах и санях.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4.3.6. Распивать спиртные напитки и находиться в нетрезвом состоянии.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4.3.7. Находиться на территории места погребения после его закрытия.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4.3.8. Въезжать на территорию места погребения на автомобильном транспорте, за исключением лиц с ограниченными возможностями здоровья.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jc w:val="center"/>
        <w:outlineLvl w:val="1"/>
      </w:pPr>
      <w:r>
        <w:t>V. Контроль за выполнением настоящих Правил</w:t>
      </w:r>
    </w:p>
    <w:p w:rsidR="008E684E" w:rsidRDefault="008E684E">
      <w:pPr>
        <w:pStyle w:val="ConsPlusNormal"/>
        <w:jc w:val="center"/>
      </w:pPr>
      <w:r>
        <w:lastRenderedPageBreak/>
        <w:t>и ответственность за их нарушение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  <w:r>
        <w:t>5.1. Контроль за выполнением настоящих Правил осуществляют: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5.1.1. Администрация города Кемерово.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5.1.2. Иные органы и организации в случаях, предусмотренных действующим законодательством.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5.2. За нарушения настоящих Правил виновные лица привлекаются к ответственности в соответствии с законодательством Российской Федерации и законодательством Кемеровской области.</w:t>
      </w:r>
    </w:p>
    <w:p w:rsidR="008E684E" w:rsidRDefault="008E684E">
      <w:pPr>
        <w:pStyle w:val="ConsPlusNormal"/>
        <w:spacing w:before="220"/>
        <w:ind w:firstLine="540"/>
        <w:jc w:val="both"/>
      </w:pPr>
      <w:r>
        <w:t>5.3. Привлечение виновных лиц к ответственности не освобождает данных лиц от устранения допущенных нарушений и возмещения причиненного ущерба.</w:t>
      </w: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ind w:firstLine="540"/>
        <w:jc w:val="both"/>
      </w:pPr>
    </w:p>
    <w:p w:rsidR="008E684E" w:rsidRDefault="008E6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20F" w:rsidRDefault="004D620F">
      <w:bookmarkStart w:id="1" w:name="_GoBack"/>
      <w:bookmarkEnd w:id="1"/>
    </w:p>
    <w:sectPr w:rsidR="004D620F" w:rsidSect="00E7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4E"/>
    <w:rsid w:val="004D620F"/>
    <w:rsid w:val="008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C167-CC2A-43C0-B1ED-E1AF7266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B6C185F24A7E49325321810C2478D475C824E2E3FD0DC0DAB8AC3F7BCA680FC2209CAA4643A13BD9EF3551BF0AA5964D02530FD5956DDDDE854xEl5J" TargetMode="External"/><Relationship Id="rId13" Type="http://schemas.openxmlformats.org/officeDocument/2006/relationships/hyperlink" Target="consultantplus://offline/ref=F3EB6C185F24A7E49325321810C2478D475C824E2F38D7DD08AB8AC3F7BCA680FC2209CAA4643A13BD9EF1531BF0AA5964D02530FD5956DDDDE854xEl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EB6C185F24A7E49325321810C2478D475C824E2F38D7DD08AB8AC3F7BCA680FC2209CAA4643A13BD9EF1531BF0AA5964D02530FD5956DDDDE854xEl5J" TargetMode="External"/><Relationship Id="rId12" Type="http://schemas.openxmlformats.org/officeDocument/2006/relationships/hyperlink" Target="consultantplus://offline/ref=F3EB6C185F24A7E493252C1506AE1B884256D543263FD88257F4D19EA0B5ACD7A96D0884E0682513B980F65712xAl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B6C185F24A7E493252C1506AE1B884054D846243CD88257F4D19EA0B5ACD7BB6D5088E9626F42F9CBF95711BAFB192FDF2533xEl3J" TargetMode="External"/><Relationship Id="rId11" Type="http://schemas.openxmlformats.org/officeDocument/2006/relationships/hyperlink" Target="consultantplus://offline/ref=F3EB6C185F24A7E493252C1506AE1B884054D846243CD88257F4D19EA0B5ACD7BB6D5088E9626F42F9CBF95711BAFB192FDF2533xEl3J" TargetMode="External"/><Relationship Id="rId5" Type="http://schemas.openxmlformats.org/officeDocument/2006/relationships/hyperlink" Target="consultantplus://offline/ref=F3EB6C185F24A7E493252C1506AE1B884053DE43243ED88257F4D19EA0B5ACD7BB6D5088E0693A1ABD95A00654F1F61D30C32535FD5B52C1xDlFJ" TargetMode="External"/><Relationship Id="rId15" Type="http://schemas.openxmlformats.org/officeDocument/2006/relationships/hyperlink" Target="consultantplus://offline/ref=F3EB6C185F24A7E493252C1506AE1B884A5FDB45253285885FADDD9CA7BAF3C0BC245C89E0693A11B6CAA51345A9FB1C2FDD212FE15950xCl3J" TargetMode="External"/><Relationship Id="rId10" Type="http://schemas.openxmlformats.org/officeDocument/2006/relationships/hyperlink" Target="consultantplus://offline/ref=F3EB6C185F24A7E493252C1506AE1B884053DE43243ED88257F4D19EA0B5ACD7BB6D5088E0693A1ABD95A00654F1F61D30C32535FD5B52C1xDl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EB6C185F24A7E49325321810C2478D475C824E203EDAD500F680CBAEB0A487F37D0CCDB5643B12A39EF04912A4F9x1lDJ" TargetMode="External"/><Relationship Id="rId14" Type="http://schemas.openxmlformats.org/officeDocument/2006/relationships/hyperlink" Target="consultantplus://offline/ref=F3EB6C185F24A7E49325321810C2478D475C824E2E3FD0DC0DAB8AC3F7BCA680FC2209CAA4643A13BD9EF3551BF0AA5964D02530FD5956DDDDE854xE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1</cp:revision>
  <dcterms:created xsi:type="dcterms:W3CDTF">2020-04-01T09:37:00Z</dcterms:created>
  <dcterms:modified xsi:type="dcterms:W3CDTF">2020-04-01T09:38:00Z</dcterms:modified>
</cp:coreProperties>
</file>