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B77F1" w14:textId="77777777" w:rsidR="004A01EF" w:rsidRPr="004A01EF" w:rsidRDefault="004A01EF" w:rsidP="004A01EF">
      <w:pPr>
        <w:shd w:val="clear" w:color="auto" w:fill="FFFFFF"/>
        <w:spacing w:after="0" w:line="254" w:lineRule="atLeast"/>
        <w:ind w:firstLine="300"/>
        <w:jc w:val="center"/>
        <w:rPr>
          <w:rFonts w:ascii="Arial" w:eastAsia="Times New Roman" w:hAnsi="Arial" w:cs="Arial"/>
          <w:color w:val="000000"/>
          <w:sz w:val="20"/>
          <w:szCs w:val="20"/>
          <w:lang w:eastAsia="ru-RU"/>
        </w:rPr>
      </w:pPr>
      <w:r w:rsidRPr="004A01EF">
        <w:rPr>
          <w:rFonts w:ascii="Arial" w:eastAsia="Times New Roman" w:hAnsi="Arial" w:cs="Arial"/>
          <w:b/>
          <w:bCs/>
          <w:color w:val="000000"/>
          <w:sz w:val="20"/>
          <w:szCs w:val="20"/>
          <w:lang w:eastAsia="ru-RU"/>
        </w:rPr>
        <w:t>ПОЯСНИТЕЛЬНАЯ ЗАПИСКА</w:t>
      </w:r>
    </w:p>
    <w:p w14:paraId="37A53A09" w14:textId="77777777" w:rsidR="004A01EF" w:rsidRPr="004A01EF" w:rsidRDefault="004A01EF" w:rsidP="004A01EF">
      <w:pPr>
        <w:shd w:val="clear" w:color="auto" w:fill="FFFFFF"/>
        <w:spacing w:after="0" w:line="254" w:lineRule="atLeast"/>
        <w:ind w:firstLine="300"/>
        <w:jc w:val="center"/>
        <w:rPr>
          <w:rFonts w:ascii="Arial" w:eastAsia="Times New Roman" w:hAnsi="Arial" w:cs="Arial"/>
          <w:color w:val="000000"/>
          <w:sz w:val="20"/>
          <w:szCs w:val="20"/>
          <w:lang w:eastAsia="ru-RU"/>
        </w:rPr>
      </w:pPr>
      <w:r w:rsidRPr="004A01EF">
        <w:rPr>
          <w:rFonts w:ascii="Arial" w:eastAsia="Times New Roman" w:hAnsi="Arial" w:cs="Arial"/>
          <w:b/>
          <w:bCs/>
          <w:color w:val="000000"/>
          <w:sz w:val="20"/>
          <w:szCs w:val="20"/>
          <w:lang w:eastAsia="ru-RU"/>
        </w:rPr>
        <w:t>к отчету о выполнении муниципальной программы</w:t>
      </w:r>
    </w:p>
    <w:p w14:paraId="58B02AE2"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b/>
          <w:bCs/>
          <w:color w:val="000000"/>
          <w:sz w:val="20"/>
          <w:szCs w:val="20"/>
          <w:lang w:eastAsia="ru-RU"/>
        </w:rPr>
        <w:t>  </w:t>
      </w:r>
    </w:p>
    <w:p w14:paraId="796A021B"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Целью муниципальной программы «Энергосбережение и повышение энергетической эффективности на территории города Кемерово» (далее муниципальная программа) является снижение потребления энергетических ресурсов во всех сферах деятельности города за счет проведения мероприятий в области энергосбережения.</w:t>
      </w:r>
    </w:p>
    <w:p w14:paraId="72DFB620"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В 2017 году было запланировано два организационных мероприятия и двенадцать технических.  Технические мероприятия выполнены в полном объеме. Одно из организационных мероприятий (Актуализация энергетического паспорта АО «Теплоэнерго») перенесено на 2018 год.</w:t>
      </w:r>
    </w:p>
    <w:p w14:paraId="0B5ACE42"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В результате проведенных мероприятий на объектах ресурсоснабжающих организаций показатели энергетической эффективности в сравнении с 2016 годом изменились следующим образом:</w:t>
      </w:r>
    </w:p>
    <w:p w14:paraId="35A76B5B" w14:textId="77777777" w:rsidR="004A01EF" w:rsidRPr="004A01EF" w:rsidRDefault="004A01EF" w:rsidP="004A01E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доля потери воды при ее передаче в общем объеме уменьшилась на 1,6%;</w:t>
      </w:r>
    </w:p>
    <w:p w14:paraId="72CE506E" w14:textId="77777777" w:rsidR="004A01EF" w:rsidRPr="004A01EF" w:rsidRDefault="004A01EF" w:rsidP="004A01E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доля потери тепловой энергии при её передаче уменьшилась на 4,6%;</w:t>
      </w:r>
    </w:p>
    <w:p w14:paraId="6FF08C03" w14:textId="77777777" w:rsidR="004A01EF" w:rsidRPr="004A01EF" w:rsidRDefault="004A01EF" w:rsidP="004A01E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снизился удельный расход топлива на выработку тепловой энергии на котельных на 5,3 %.</w:t>
      </w:r>
    </w:p>
    <w:p w14:paraId="7A383943" w14:textId="77777777" w:rsidR="004A01EF" w:rsidRPr="004A01EF" w:rsidRDefault="004A01EF" w:rsidP="004A01E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не значительно увеличился удельный расход топлива на выработку тепловой энергии на электростанциях (на 0,04 %);</w:t>
      </w:r>
    </w:p>
    <w:p w14:paraId="59F9A803"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Своевременная реализация в 2010 году подпрограммы «Создание городской системы АСКУЭ» в 2017 году позволила осуществлять сервисное обслуживание приборного парка учета энергоресурсов учреждений бюджетной сферы, оперативно выявлять сбои в потреблении энергоресурсов, своевременно производить ремонт и наладку инженерных сетей в учреждениях.</w:t>
      </w:r>
    </w:p>
    <w:p w14:paraId="59AF71DA"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В течении 2017 года на сервисном обслуживании находились 299 тепловых узлов, из них 282 узла, подключенных к централизованной системе автоматизированного сбора и обработки данных потребления энергоресурсов.</w:t>
      </w:r>
    </w:p>
    <w:p w14:paraId="3AAF8E37"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Продолжена работа по привлечению частных инвесторов для финансирования энергосберегающих мероприятий на объектах, в которых расположены бюджетные учреждения. Путем заключения энергосервисных контрактов на 13-ти муниципальных бюджетных (автономных) учреждениях за счет привлеченных средств инвестора было установлено оборудование погодного регулирования теплового узла. Размер инвестиций составил 3,2 млн. руб. Фактическая экономия на 01.01.2018 года составила 1,1 тыс. Гкал (1,75 млн. руб.).</w:t>
      </w:r>
    </w:p>
    <w:p w14:paraId="7BEF9B89"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Реализация энергосберегающих мероприятий в муниципальных учреждениях социальной сферы позволила сохранить удельную величину потребления энергетических ресурсов на уровне 2016 года при увеличении численности и площади этих учреждений, за счет ввода в эксплуатацию в конце 2016 года блока среднего и старшего звена школы МАОУ «СОШ № 85», двух новых корпусов детских садов в 12 и 13 микрорайонах Рудничного района, увеличение осветительных мачт на стадионе МАУ «ФК Кузбасс». </w:t>
      </w:r>
    </w:p>
    <w:p w14:paraId="322EC285"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Степень реализации муниципальной программы </w:t>
      </w:r>
      <w:r w:rsidRPr="004A01EF">
        <w:rPr>
          <w:rFonts w:ascii="Arial" w:eastAsia="Times New Roman" w:hAnsi="Arial" w:cs="Arial"/>
          <w:b/>
          <w:bCs/>
          <w:color w:val="000000"/>
          <w:sz w:val="20"/>
          <w:szCs w:val="20"/>
          <w:lang w:eastAsia="ru-RU"/>
        </w:rPr>
        <w:t>(Ср)</w:t>
      </w:r>
      <w:r w:rsidRPr="004A01EF">
        <w:rPr>
          <w:rFonts w:ascii="Arial" w:eastAsia="Times New Roman" w:hAnsi="Arial" w:cs="Arial"/>
          <w:color w:val="000000"/>
          <w:sz w:val="20"/>
          <w:szCs w:val="20"/>
          <w:lang w:eastAsia="ru-RU"/>
        </w:rPr>
        <w:t>, рассчитанная на основании степени достижения плановых значений показателей (индикаторов) муниципальной программы в целом составила </w:t>
      </w:r>
      <w:r w:rsidRPr="004A01EF">
        <w:rPr>
          <w:rFonts w:ascii="Arial" w:eastAsia="Times New Roman" w:hAnsi="Arial" w:cs="Arial"/>
          <w:b/>
          <w:bCs/>
          <w:color w:val="000000"/>
          <w:sz w:val="20"/>
          <w:szCs w:val="20"/>
          <w:lang w:eastAsia="ru-RU"/>
        </w:rPr>
        <w:t>0,891</w:t>
      </w:r>
      <w:r w:rsidRPr="004A01EF">
        <w:rPr>
          <w:rFonts w:ascii="Arial" w:eastAsia="Times New Roman" w:hAnsi="Arial" w:cs="Arial"/>
          <w:color w:val="000000"/>
          <w:sz w:val="20"/>
          <w:szCs w:val="20"/>
          <w:lang w:eastAsia="ru-RU"/>
        </w:rPr>
        <w:t>.</w:t>
      </w:r>
    </w:p>
    <w:p w14:paraId="46E92396"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Степень соответствия финансирования </w:t>
      </w:r>
      <w:r w:rsidRPr="004A01EF">
        <w:rPr>
          <w:rFonts w:ascii="Arial" w:eastAsia="Times New Roman" w:hAnsi="Arial" w:cs="Arial"/>
          <w:b/>
          <w:bCs/>
          <w:color w:val="000000"/>
          <w:sz w:val="20"/>
          <w:szCs w:val="20"/>
          <w:lang w:eastAsia="ru-RU"/>
        </w:rPr>
        <w:t>(Ссуз)</w:t>
      </w:r>
      <w:r w:rsidRPr="004A01EF">
        <w:rPr>
          <w:rFonts w:ascii="Arial" w:eastAsia="Times New Roman" w:hAnsi="Arial" w:cs="Arial"/>
          <w:color w:val="000000"/>
          <w:sz w:val="20"/>
          <w:szCs w:val="20"/>
          <w:lang w:eastAsia="ru-RU"/>
        </w:rPr>
        <w:t> муниципальной программы по сравнению с запланированным уровнем затрат составила 0,848. Уменьшение фактической суммы расхода на выполнение мероприятий произошло за счет экономии средств по результатам торгов при выборе подрядной организации.</w:t>
      </w:r>
    </w:p>
    <w:p w14:paraId="7906FEF7"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Степень реализации мероприятий </w:t>
      </w:r>
      <w:r w:rsidRPr="004A01EF">
        <w:rPr>
          <w:rFonts w:ascii="Arial" w:eastAsia="Times New Roman" w:hAnsi="Arial" w:cs="Arial"/>
          <w:b/>
          <w:bCs/>
          <w:color w:val="000000"/>
          <w:sz w:val="20"/>
          <w:szCs w:val="20"/>
          <w:lang w:eastAsia="ru-RU"/>
        </w:rPr>
        <w:t>(СРм) = 0,83.</w:t>
      </w:r>
    </w:p>
    <w:p w14:paraId="1C7042E4"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Эффективность использования муниципальных ресурсов составляет:</w:t>
      </w:r>
    </w:p>
    <w:p w14:paraId="19C2F3BB"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b/>
          <w:bCs/>
          <w:color w:val="000000"/>
          <w:sz w:val="20"/>
          <w:szCs w:val="20"/>
          <w:lang w:eastAsia="ru-RU"/>
        </w:rPr>
        <w:t>Эис = СРм/Ссуз = 0,83/0,848 = 0,982.</w:t>
      </w:r>
    </w:p>
    <w:p w14:paraId="670D0AAC"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color w:val="000000"/>
          <w:sz w:val="20"/>
          <w:szCs w:val="20"/>
          <w:lang w:eastAsia="ru-RU"/>
        </w:rPr>
        <w:t>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и составляет:</w:t>
      </w:r>
    </w:p>
    <w:p w14:paraId="7A5F5C18" w14:textId="77777777" w:rsidR="004A01EF" w:rsidRPr="004A01EF" w:rsidRDefault="004A01EF" w:rsidP="004A01EF">
      <w:pPr>
        <w:shd w:val="clear" w:color="auto" w:fill="FFFFFF"/>
        <w:spacing w:after="0" w:line="254" w:lineRule="atLeast"/>
        <w:ind w:firstLine="300"/>
        <w:jc w:val="both"/>
        <w:rPr>
          <w:rFonts w:ascii="Arial" w:eastAsia="Times New Roman" w:hAnsi="Arial" w:cs="Arial"/>
          <w:color w:val="000000"/>
          <w:sz w:val="20"/>
          <w:szCs w:val="20"/>
          <w:lang w:eastAsia="ru-RU"/>
        </w:rPr>
      </w:pPr>
      <w:r w:rsidRPr="004A01EF">
        <w:rPr>
          <w:rFonts w:ascii="Arial" w:eastAsia="Times New Roman" w:hAnsi="Arial" w:cs="Arial"/>
          <w:b/>
          <w:bCs/>
          <w:color w:val="000000"/>
          <w:sz w:val="20"/>
          <w:szCs w:val="20"/>
          <w:lang w:eastAsia="ru-RU"/>
        </w:rPr>
        <w:t>ЭРмп = Ср*Эис = 0,891*0,982 = 0,87 (~0.9)</w:t>
      </w:r>
    </w:p>
    <w:p w14:paraId="5C422F8C" w14:textId="77777777" w:rsidR="009D1E00" w:rsidRDefault="009D1E00">
      <w:bookmarkStart w:id="0" w:name="_GoBack"/>
      <w:bookmarkEnd w:id="0"/>
    </w:p>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64B01"/>
    <w:multiLevelType w:val="multilevel"/>
    <w:tmpl w:val="7872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9B"/>
    <w:rsid w:val="00265A9B"/>
    <w:rsid w:val="004A01EF"/>
    <w:rsid w:val="009D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DF5F3-AD31-431C-B7C8-04054842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1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8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2019-07-04T10:06:00Z</dcterms:created>
  <dcterms:modified xsi:type="dcterms:W3CDTF">2019-07-04T10:06:00Z</dcterms:modified>
</cp:coreProperties>
</file>