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DB" w:rsidRDefault="004274D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74DB" w:rsidRDefault="004274DB">
      <w:pPr>
        <w:pStyle w:val="ConsPlusNormal"/>
        <w:jc w:val="both"/>
        <w:outlineLvl w:val="0"/>
      </w:pPr>
    </w:p>
    <w:p w:rsidR="004274DB" w:rsidRDefault="004274DB">
      <w:pPr>
        <w:pStyle w:val="ConsPlusTitle"/>
        <w:jc w:val="center"/>
        <w:outlineLvl w:val="0"/>
      </w:pPr>
      <w:r>
        <w:t>АДМИНИСТРАЦИЯ ГОРОДА КЕМЕРОВО</w:t>
      </w:r>
    </w:p>
    <w:p w:rsidR="004274DB" w:rsidRDefault="004274DB">
      <w:pPr>
        <w:pStyle w:val="ConsPlusTitle"/>
        <w:jc w:val="center"/>
      </w:pPr>
    </w:p>
    <w:p w:rsidR="004274DB" w:rsidRDefault="004274DB">
      <w:pPr>
        <w:pStyle w:val="ConsPlusTitle"/>
        <w:jc w:val="center"/>
      </w:pPr>
      <w:r>
        <w:t>ПОСТАНОВЛЕНИЕ</w:t>
      </w:r>
    </w:p>
    <w:p w:rsidR="004274DB" w:rsidRDefault="004274DB">
      <w:pPr>
        <w:pStyle w:val="ConsPlusTitle"/>
        <w:jc w:val="center"/>
      </w:pPr>
      <w:r>
        <w:t>от 16 октября 2013 г. N 3162</w:t>
      </w:r>
    </w:p>
    <w:p w:rsidR="004274DB" w:rsidRDefault="004274DB">
      <w:pPr>
        <w:pStyle w:val="ConsPlusTitle"/>
        <w:jc w:val="center"/>
      </w:pPr>
    </w:p>
    <w:p w:rsidR="004274DB" w:rsidRDefault="004274DB">
      <w:pPr>
        <w:pStyle w:val="ConsPlusTitle"/>
        <w:jc w:val="center"/>
      </w:pPr>
      <w:r>
        <w:t>О СОЗДАНИИ ОТРАСЛЕВЫХ БАЛАНСОВЫХ КОМИССИЙ</w:t>
      </w:r>
    </w:p>
    <w:p w:rsidR="004274DB" w:rsidRDefault="004274DB">
      <w:pPr>
        <w:pStyle w:val="ConsPlusTitle"/>
        <w:jc w:val="center"/>
      </w:pPr>
      <w:r>
        <w:t>АДМИНИСТРАЦИИ ГОРОДА КЕМЕРОВО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  <w:r>
        <w:t xml:space="preserve">В целях повышения эффективности использования муниципального имущества и средств бюджета города, в соответствии со </w:t>
      </w:r>
      <w:hyperlink r:id="rId5">
        <w:r>
          <w:rPr>
            <w:color w:val="0000FF"/>
          </w:rPr>
          <w:t>статьей 45</w:t>
        </w:r>
      </w:hyperlink>
      <w:r>
        <w:t xml:space="preserve"> Устава города Кемерово: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Положение</w:t>
        </w:r>
      </w:hyperlink>
      <w:r>
        <w:t xml:space="preserve"> об отраслевых балансовых комиссиях администрации города Кемерово согласно приложению.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 И.о первого заместителя Главы города (В.К.Зуб), заместителям Главы города (А.В.Калинин, Р.А.Однорал, И.П.Попов, О.В.Турбаба, Г.Г.Перекрестов) в срок до 1 ноября 2013 года создать отраслевые балансовые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данное постановление в газете "Кемерово".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и.о. первого заместителя Главы города В.К.Зуба.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right"/>
      </w:pPr>
      <w:r>
        <w:t>И.о. Главы города</w:t>
      </w:r>
    </w:p>
    <w:p w:rsidR="004274DB" w:rsidRDefault="004274DB">
      <w:pPr>
        <w:pStyle w:val="ConsPlusNormal"/>
        <w:jc w:val="right"/>
      </w:pPr>
      <w:r>
        <w:t>В.К.ЗУБ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right"/>
        <w:outlineLvl w:val="0"/>
      </w:pPr>
      <w:r>
        <w:t>Приложение</w:t>
      </w:r>
    </w:p>
    <w:p w:rsidR="004274DB" w:rsidRDefault="004274DB">
      <w:pPr>
        <w:pStyle w:val="ConsPlusNormal"/>
        <w:jc w:val="right"/>
      </w:pPr>
      <w:r>
        <w:t>к постановлению администрации</w:t>
      </w:r>
    </w:p>
    <w:p w:rsidR="004274DB" w:rsidRDefault="004274DB">
      <w:pPr>
        <w:pStyle w:val="ConsPlusNormal"/>
        <w:jc w:val="right"/>
      </w:pPr>
      <w:r>
        <w:t>города Кемерово</w:t>
      </w:r>
    </w:p>
    <w:p w:rsidR="004274DB" w:rsidRDefault="004274DB">
      <w:pPr>
        <w:pStyle w:val="ConsPlusNormal"/>
        <w:jc w:val="right"/>
      </w:pPr>
      <w:r>
        <w:t>от 16 октября 2013 г. N 3162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Title"/>
        <w:jc w:val="center"/>
      </w:pPr>
      <w:bookmarkStart w:id="0" w:name="P27"/>
      <w:bookmarkEnd w:id="0"/>
      <w:r>
        <w:t>ПОЛОЖЕНИЕ</w:t>
      </w:r>
    </w:p>
    <w:p w:rsidR="004274DB" w:rsidRDefault="004274DB">
      <w:pPr>
        <w:pStyle w:val="ConsPlusTitle"/>
        <w:jc w:val="center"/>
      </w:pPr>
      <w:r>
        <w:t>ОБ ОТРАСЛЕВЫХ БАЛАНСОВЫХ КОМИССИЯХ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center"/>
        <w:outlineLvl w:val="1"/>
      </w:pPr>
      <w:r>
        <w:t>I. Общие положения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  <w:r>
        <w:t>1.1. Настоящее положение регулирует деятельность отраслевых балансовых комиссий (далее по тексту - Комиссии), создаваемых при заместителях Главы города в целях повышения эффективности использования муниципального имущества и средств бюджета города, а также обеспечения контроля за результатами финансово-хозяйственной деятельности муниципальных предприятий (далее по тексту - предприятий) и муниципальных автономных, бюджетных и казенных учреждений (далее по тексту - учреждений).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 xml:space="preserve">1.2. Комиссии в своей деятельности руководствуются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Кемеровской области, иными нормативными правовыми актами органов местного самоуправления города Кемерово.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lastRenderedPageBreak/>
        <w:t>1.3. Решения Комиссий, принятые в пределах их полномочий, являются обязательными для руководителей муниципальных предприятий и учреждений.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center"/>
        <w:outlineLvl w:val="1"/>
      </w:pPr>
      <w:r>
        <w:t>II. Основные задачи и функции Комиссии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  <w:r>
        <w:t>2.1. Основными задачами Комиссий являются: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контроль за соблюдением выполнения перечня работ, услуг в соответствии с Уставом муниципального предприятия, учреждения;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контроль за выполнением муниципального задания муниципальными учреждениями и предприятиями, а также соблюдением выполнения перечня услуг, оказываемых на платной основе;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комплексный анализ и оценка результатов финансово-хозяйственной деятельности за отчетный период;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оценка эффективности использования муниципального имущества, трудовых и финансовых ресурсов;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подготовка предложений руководителю отраслевого подразделения, в чьем ведении находится муниципальное предприятие или учреждение, об утверждении плана финансово-хозяйственной деятельности муниципального предприятия и учреждения или смет казенного учреждения, в том числе величины показателей их экономической эффективности на очередной финансовый год;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оценка эффективности управления муниципальными предприятиями и учреждениями, определение мер, направленных на повышение результативности управления;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контроль расчетов с бюджетами всех уровней и внебюджетными государственными фондами;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контроль выполнения энергосберегающих мероприятий и осуществление мер, направленных на снижение потребления коммунального ресурса;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внесение предложений по реорганизации и ликвидации муниципальных предприятий и учреждений или их продаже как имущественных комплексов.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 На основании доклада руководителя структурного подразделения администрации города Кемерово, курирующего соответствующие муниципальные предприятия и учреждения, Комиссия анализирует: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2.2.1. Бухгалтерскую и статистическую отчетность.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2.2.2. Финансовую устойчивость (объемы и состояние собственного и привлеченного капитала) и платежеспособность.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2.2.3. Эффективность использования на праве хозяйственного ведения, оперативного управления или аренды муниципального имущества.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2.2.4. Эффективность использования денежных средств (наличие дебиторской и кредиторской задолженности).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2.2.5. Соблюдение трудового законодательства, кадровый потенциал, оплату труда.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2.2.6. Эффективность управления муниципальным предприятием и учреждением.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lastRenderedPageBreak/>
        <w:t>2.2.7. Соответствие осуществляемых видов деятельности Уставу (Положению) муниципального предприятия или учреждения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center"/>
        <w:outlineLvl w:val="1"/>
      </w:pPr>
      <w:r>
        <w:t>III. Права Комиссии</w:t>
      </w:r>
    </w:p>
    <w:p w:rsidR="004274DB" w:rsidRDefault="004274DB">
      <w:pPr>
        <w:pStyle w:val="ConsPlusNormal"/>
        <w:jc w:val="center"/>
      </w:pPr>
    </w:p>
    <w:p w:rsidR="004274DB" w:rsidRDefault="004274DB">
      <w:pPr>
        <w:pStyle w:val="ConsPlusNormal"/>
        <w:ind w:firstLine="540"/>
        <w:jc w:val="both"/>
      </w:pPr>
      <w:r>
        <w:t>3.1. Комиссия имеет право: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а) запрашивать и получать у предприятий, учреждений учредительные документы, данные бухгалтерского и статистического учета и отчетности, аудиторских проверок и другую необходимую информацию;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б) заслушивать на заседаниях Комиссии отчеты руководителей предприятий, учреждений по итогам финансово-хозяйственной деятельности предприятия, учреждения;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в) производить оценку результатов финансово-хозяйственной деятельности муниципальных предприятий,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решений Комиссии;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г) вносить предложения о необходимости установления или изменения цен (тарифов) на товары, работы и услуги предприятий, учреждений в соответствии с действующим законодательством;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е) получать отчеты руководителей предприятий, учреждений об устранении ранее выявленных нарушений и по реализации принятых Комиссией решений;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д) готовить для рассмотрения на городской балансовой комиссии предложения по осуществлению мероприятий, направленных на поддержку конкретных предприятий, учреждений или группы предприятий, учреждений;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ж) вносить в установленном порядке предложения в городскую балансовую комиссию по реорганизации, приватизации или ликвидации предприятий либо учреждений;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з) в зависимости от достигнутых результатов финансово-хозяйственной деятельности вносить предложения о премировании или применении мер дисциплинарного взыскания к руководителю муниципального предприятия, учреждения;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и) в отношении убыточных предприятий Комиссия вправе дополнительно принимать следующие решения: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 проведении проверок финансово-хозяйственной деятельности;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 разработке плана мероприятий по оздоровлению финансового состояния;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 рассмотрении отчета о деятельности предприятия на городской балансовой комиссии.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center"/>
        <w:outlineLvl w:val="1"/>
      </w:pPr>
      <w:r>
        <w:t>IV. Организация работы Комиссии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  <w:r>
        <w:t>4.1. Состав Комиссий утверждаются приказами (распоряжениями) председателя Комиссии. Председателем Комиссии назначается руководитель соответствующего структурного подразделения администрации города. В состав Комиссии включаются представители соответствующих структурных подразделений администрации города, комитета по управлению муниципальным имуществом города Кемерово, управления экономического развития, финансового управления города Кемерово.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 xml:space="preserve">4.2. Председатель комиссии руководит деятельностью Комиссии, утверждает график работы </w:t>
      </w:r>
      <w:r>
        <w:lastRenderedPageBreak/>
        <w:t>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4.3. Организационно-техническую работу по подготовке, проведению заседаний и оформлению документации по результатам работы Комиссии осуществляет ответственный секретарь (далее - секретарь) Комиссии, назначаемый из числа специалистов соответствующего структурного подразделения администрации города.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4.4. Заседание Комиссии проводится по мере необходимости, но не реже 1 раза в год в отношении каждого муниципального предприятия, а в отношении учреждений - выборочно, по решению заместителя Главы города, при котором создана Комиссия, в том числе по вопросам рассмотрения отчетов о результатах финансово-хозяйственной деятельности предприятий, учреждений за истекший год - не позднее 15 мая года, следующего за отчетным.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4.5. Наряду с плановыми заседаниями Комиссии могут проводиться внеплановые заседания. Решения о проведении внеплановых заседаний и об их повестке принимает соответствующий заместитель Главы города либо председатель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4.6. Приказ (распоряжение) о проведении очередной Комиссии издается заместителем Главы города, при котором создана Комиссия, не менее чем за 20 рабочих дней до начала ее работы. В приказе (распоряжении) о проведении Комиссии определяется график работы Комиссии, перечень предприятий и учреждений, отчитывающихся о своей деятельности.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4.7. Председатель Комиссии не менее чем за 17 рабочих дней до заседания направляет уведомление о заседании Комиссии руководителям муниципальных предприятий и учреждений, членам Комиссии и лицам, приглашенным на заседание Комиссии, в котором указывается: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а) место, дата и время проведения заседания Комиссии;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б) вопросы повестки дня;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в) перечень материалов, которые должен представить на комиссию руководитель предприятия, учреждения.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Предприятия, учреждения не менее чем за 7 рабочих дней до даты проведения заседания представляют в Комиссию при рассмотрении отчетов о результатах финансово-хозяйственной деятельности за истекший год, следующие документы: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бухгалтерский баланс;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отчет о прибылях и убытках;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сведения об использовании чистой прибыли;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справка о приобретении имущества за счет предприятия;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отчет о выполнении основных показателей финансово-хозяйственной деятельности за отчетный год;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расшифровку дебиторской и кредиторской задолженности;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расшифровку прочих доходов и расходов;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расшифровку задолженности по налогам и обязательным платежам;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сведения о численности работников, средней заработной плате, фонде оплаты труда;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информацию о несчастных случаях на производстве;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lastRenderedPageBreak/>
        <w:t>- иные необходимые данные по решению председателя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4.8. Руководитель предприятия, учреждения несет ответственность за своевременное представление и достоверность отчетной информации.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4.9. Заседание Комиссии считается правомочным при участии в нем не менее 2/3 от общего числа членов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4.10. Заседание Комиссии ведется председателем Комиссии, а в его отсутствие - заместителем председателя.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4.11. Заседания Комиссии проводятся при участии руководителей (или их заместителей) и главных бухгалтеров муниципальных предприятий и учреждений.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4.12. На Комиссии заслушиваются выступления руководителей и должностных лиц муниципальных предприятий, учреждений, членов Комиссии, других лиц, приглашенных на ее заседание.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Комиссия рассматривает деятельность каждого в отдельности муниципального предприятия, учреждения.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При обсуждении деятельности предприятий и учреждений рассматриваются следующие вопросы: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основных показателей работы в динамике;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показателей финансово-хозяйственной деятельности;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расходов в разрезе статей;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кредиторской и дебиторской задолженности в динамике;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исполнения решений балансовой Комиссии по результатам работы за предшествующий год;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результатов инвентаризации основных средств;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принятых мер по проверкам контролирующих органов;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использования средств из внебюджетных источников финансирования;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информации по движению имущества (списание, приобретение и т.д.);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- анализ информации по проведению капитального ремонта муниципального имущества.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4.13. Комиссия принимает решение по рассматриваемому вопросу путем открытого голосования, простым большинством членов Комиссии, присутствующих на ее заседании.</w:t>
      </w:r>
    </w:p>
    <w:p w:rsidR="004274DB" w:rsidRDefault="004274DB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4.14. Решения Комиссии оформляются в виде протоколов и обязательны для исполнения всеми должностными лицами муниципальных предприятий и учреждений, которым они адресованы.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4.15. Протокол заседания Комиссии ведется секретарем Комиссии, подписывается всеми членами Комиссии, присутствующими на заседании, и утверждается председателем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4.16. Копии протоколов заседаний отраслевых балансовых комиссий направляются председателем Комиссии в комитет по управлению муниципальным имуществом города Кемерово и секретарю городской балансовой комиссии не позднее 10 рабочих дней после проведения ее заседания.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 xml:space="preserve">4.17. С целью обобщения информации о работе муниципальных предприятий, учреждений ежегодно председатель Комиссии в срок до 15 июня готовит на имя заместителя Главы города аналитическую справку о работе подведомственных предприятий, учреждений с отражением информации по вопросам, указанным в </w:t>
      </w:r>
      <w:hyperlink w:anchor="P115">
        <w:r>
          <w:rPr>
            <w:color w:val="0000FF"/>
          </w:rPr>
          <w:t>пункте 4.14</w:t>
        </w:r>
      </w:hyperlink>
      <w:r>
        <w:t xml:space="preserve"> настоящего положения.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По одному экземпляру аналитической справки направляются в комитет по управлению муниципальным имуществом города Кемерово и секретарю городской балансовой комиссии.</w:t>
      </w:r>
    </w:p>
    <w:p w:rsidR="004274DB" w:rsidRDefault="004274DB">
      <w:pPr>
        <w:pStyle w:val="ConsPlusNormal"/>
        <w:spacing w:before="220"/>
        <w:ind w:firstLine="540"/>
        <w:jc w:val="both"/>
      </w:pPr>
      <w:r>
        <w:t>4.18. Отчеты заместителей Главы города о результатах работы Комиссий по решению Главы города могут быть заслушаны на заседании городской балансовой комиссии.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center"/>
        <w:outlineLvl w:val="1"/>
      </w:pPr>
      <w:r>
        <w:t>V. Контроль исполнения решений Комиссии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  <w:r>
        <w:t>5.1. Контроль за исполнением решений Комиссий осуществляют заместители Главы города и председатели Комиссий.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jc w:val="right"/>
      </w:pPr>
      <w:r>
        <w:t>Начальник управления делами</w:t>
      </w:r>
    </w:p>
    <w:p w:rsidR="004274DB" w:rsidRDefault="004274DB">
      <w:pPr>
        <w:pStyle w:val="ConsPlusNormal"/>
        <w:jc w:val="right"/>
      </w:pPr>
      <w:r>
        <w:t>В.И.ВЫЛЕГЖАНИНА</w:t>
      </w: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ind w:firstLine="540"/>
        <w:jc w:val="both"/>
      </w:pPr>
    </w:p>
    <w:p w:rsidR="004274DB" w:rsidRDefault="004274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4274DB"/>
    <w:sectPr w:rsidR="0036566F" w:rsidSect="00F0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74DB"/>
    <w:rsid w:val="000B3EE1"/>
    <w:rsid w:val="004274DB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7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74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875" TargetMode="External"/><Relationship Id="rId5" Type="http://schemas.openxmlformats.org/officeDocument/2006/relationships/hyperlink" Target="https://login.consultant.ru/link/?req=doc&amp;base=RLAW284&amp;n=135117&amp;dst=10075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10742</Characters>
  <Application>Microsoft Office Word</Application>
  <DocSecurity>0</DocSecurity>
  <Lines>89</Lines>
  <Paragraphs>25</Paragraphs>
  <ScaleCrop>false</ScaleCrop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2024-01-19T05:25:00Z</dcterms:created>
  <dcterms:modified xsi:type="dcterms:W3CDTF">2024-01-19T05:25:00Z</dcterms:modified>
</cp:coreProperties>
</file>